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152" w:rsidRPr="007D369A" w:rsidRDefault="007D369A" w:rsidP="007D369A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ICWA was explicitly passed pursuant to the federal trust responsibility, 25 U.S.C. § 1901, and the Congressional findings expressly state “that the United States has a direct interest, as trustee, in protecting Indian children who are members of or are eligible for membership in an Indian tribe.”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Id.</w:t>
      </w:r>
      <w:proofErr w:type="gramStart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see also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Navajo Nation v. </w:t>
      </w:r>
      <w:proofErr w:type="spellStart"/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Hodel</w:t>
      </w:r>
      <w:proofErr w:type="spellEnd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>, 645 F. Supp. 825, 827 (D. Ariz. 1986) (“</w:t>
      </w:r>
      <w:r w:rsidRPr="007D369A">
        <w:rPr>
          <w:rFonts w:ascii="Times New Roman" w:eastAsia="Times New Roman" w:hAnsi="Times New Roman" w:cs="Times New Roman"/>
          <w:color w:val="212121"/>
          <w:sz w:val="28"/>
          <w:szCs w:val="28"/>
        </w:rPr>
        <w:t>The ICWA does create a special trust relationship between the government and the Indians for purposes of the statute.</w:t>
      </w:r>
      <w:r w:rsidRPr="007D369A">
        <w:rPr>
          <w:rFonts w:ascii="Times New Roman" w:eastAsia="Times New Roman" w:hAnsi="Times New Roman" w:cs="Times New Roman"/>
          <w:sz w:val="28"/>
          <w:szCs w:val="28"/>
        </w:rPr>
        <w:t>”)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369A" w:rsidRPr="007D369A" w:rsidRDefault="007D369A" w:rsidP="007D369A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</w:p>
    <w:bookmarkEnd w:id="0"/>
    <w:p w:rsidR="007D369A" w:rsidRPr="007D369A" w:rsidRDefault="007D369A" w:rsidP="007D369A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Petitioners’ equal protection arguments against ICWA have long been settled. Multiple state courts have already dealt with this issue and determined, based on application of a plethora of state and federal laws and legal principles, that the application of ICWA does not give rise to strict scrutiny level analysis because of the “political status of the . . . children and the quasi-sovereign nature of the tribe.”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In the Interest of A.B.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663 N.W.2d 625, 636 (N.D. 2003);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see also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In re A.A.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176 P.3d 237, 240 (Kan. App. 2008);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In re Adoption of Hannah S.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48 Cal. </w:t>
      </w:r>
      <w:proofErr w:type="spellStart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>Rptr</w:t>
      </w:r>
      <w:proofErr w:type="spellEnd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3d 605, 610-11 (Cal. Ct. App., 3rd. Dist. 2006);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In re Interest of Phoenix L.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708 N.W.2d 786, 797-89 (Neb. 2006), </w:t>
      </w:r>
      <w:proofErr w:type="spellStart"/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rev’d</w:t>
      </w:r>
      <w:proofErr w:type="spellEnd"/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on other grounds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Matter of M.K.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964 P.2d 241, 244 (Okla. Ct. App. 1998);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In re Marcus S.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638 A.2d 1158, 1159 (Maine 1994);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State ex rel. Children’s Services Div. v. Graves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848 P.2d 133, 134 (Or. Ct. 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App. 1993);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In re Miller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>, 451 N.W.2d 576, 579 (Mich. App. 1990)</w:t>
      </w:r>
      <w:proofErr w:type="gramStart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Matter of Appeal in Pima County Juvenile Action No. </w:t>
      </w:r>
      <w:proofErr w:type="gramStart"/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S-903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635 P.2d 187, 193 (Ariz. Ct. App. 1981);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Matter of Guardianship of D.L.L.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>, 291 N.W.2d 278, 281 (S.D. 1980).</w:t>
      </w:r>
      <w:proofErr w:type="gramEnd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one case, the U.S. Supreme Court refused to review a state court’s decision holding that the equal protection scrutiny should not be heightened for ICWA cases.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In the Matter of Application of Angus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655 P.2d 208 (1982),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review den.</w:t>
      </w:r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294 Or. </w:t>
      </w:r>
      <w:proofErr w:type="gramStart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569, 660 P.2d 683 (1983), </w:t>
      </w:r>
      <w:r w:rsidRPr="007D3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cert. den.</w:t>
      </w:r>
      <w:proofErr w:type="gramEnd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D369A">
        <w:rPr>
          <w:rFonts w:ascii="Times New Roman" w:hAnsi="Times New Roman" w:cs="Times New Roman"/>
          <w:color w:val="000000" w:themeColor="text1"/>
          <w:sz w:val="28"/>
          <w:szCs w:val="28"/>
        </w:rPr>
        <w:t>464 U.S. 830 (1983).</w:t>
      </w:r>
      <w:proofErr w:type="gramEnd"/>
    </w:p>
    <w:p w:rsidR="007D369A" w:rsidRDefault="007D369A"/>
    <w:sectPr w:rsidR="007D369A" w:rsidSect="00F361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9A"/>
    <w:rsid w:val="007D369A"/>
    <w:rsid w:val="00F22861"/>
    <w:rsid w:val="00F3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035F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8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86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8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86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1642</Characters>
  <Application>Microsoft Macintosh Word</Application>
  <DocSecurity>0</DocSecurity>
  <Lines>13</Lines>
  <Paragraphs>3</Paragraphs>
  <ScaleCrop>false</ScaleCrop>
  <Company>MSU College of Law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Fort</dc:creator>
  <cp:keywords/>
  <dc:description/>
  <cp:lastModifiedBy>Kate Fort</cp:lastModifiedBy>
  <cp:revision>1</cp:revision>
  <dcterms:created xsi:type="dcterms:W3CDTF">2016-05-03T18:21:00Z</dcterms:created>
  <dcterms:modified xsi:type="dcterms:W3CDTF">2016-05-03T18:33:00Z</dcterms:modified>
</cp:coreProperties>
</file>