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1CD65F" w14:textId="71E305C2" w:rsidR="00166DD9" w:rsidRDefault="00446D53">
      <w:r>
        <w:tab/>
        <w:t xml:space="preserve">TO: </w:t>
      </w:r>
      <w:r>
        <w:tab/>
      </w:r>
      <w:r>
        <w:tab/>
        <w:t>Jeffrey Picker</w:t>
      </w:r>
    </w:p>
    <w:p w14:paraId="2EE61FFD" w14:textId="7114AF62" w:rsidR="00446D53" w:rsidRDefault="00446D53">
      <w:r>
        <w:tab/>
        <w:t>FROM:</w:t>
      </w:r>
      <w:r>
        <w:tab/>
      </w:r>
      <w:r>
        <w:tab/>
        <w:t>Nicholas S</w:t>
      </w:r>
      <w:r w:rsidR="0016213D">
        <w:t>tamates</w:t>
      </w:r>
    </w:p>
    <w:p w14:paraId="300AF41A" w14:textId="7BCB165E" w:rsidR="00446D53" w:rsidRDefault="00446D53">
      <w:r>
        <w:tab/>
        <w:t>RE:</w:t>
      </w:r>
      <w:r>
        <w:tab/>
      </w:r>
      <w:r>
        <w:tab/>
      </w:r>
      <w:r w:rsidR="00A361E8">
        <w:t>Authorized House Counsel Status Pursuant to Chapter 17</w:t>
      </w:r>
    </w:p>
    <w:p w14:paraId="39260D3C" w14:textId="36C7BE47" w:rsidR="00A361E8" w:rsidRDefault="00A361E8">
      <w:r>
        <w:tab/>
        <w:t>DATE:</w:t>
      </w:r>
      <w:r>
        <w:tab/>
      </w:r>
      <w:r>
        <w:tab/>
        <w:t>January 20, 2023</w:t>
      </w:r>
    </w:p>
    <w:p w14:paraId="27DB704E" w14:textId="28701E87" w:rsidR="00E40018" w:rsidRDefault="00E40018"/>
    <w:p w14:paraId="704FF1BD" w14:textId="2D60E6FA" w:rsidR="00E40018" w:rsidRDefault="00E40018" w:rsidP="00D63082">
      <w:pPr>
        <w:jc w:val="both"/>
      </w:pPr>
      <w:r>
        <w:tab/>
        <w:t xml:space="preserve">Jeffery Picker requested information </w:t>
      </w:r>
      <w:r w:rsidR="00274A50">
        <w:t>regarding Nicholas S</w:t>
      </w:r>
      <w:r w:rsidR="00A650FB">
        <w:t>tamates</w:t>
      </w:r>
      <w:r w:rsidR="00FA4F8A">
        <w:t>’</w:t>
      </w:r>
      <w:r w:rsidR="00274A50">
        <w:t xml:space="preserve"> petition to the Florida Bar</w:t>
      </w:r>
      <w:r w:rsidR="00965AA8">
        <w:t xml:space="preserve"> </w:t>
      </w:r>
      <w:r w:rsidR="001224FC">
        <w:t>for</w:t>
      </w:r>
      <w:r w:rsidR="001237DA">
        <w:t xml:space="preserve"> </w:t>
      </w:r>
      <w:r w:rsidR="00274A50">
        <w:t>Authorized House Coun</w:t>
      </w:r>
      <w:r w:rsidR="001224FC">
        <w:t>sel</w:t>
      </w:r>
      <w:r w:rsidR="00274A50">
        <w:t xml:space="preserve"> Status </w:t>
      </w:r>
      <w:r w:rsidR="00FA4F8A">
        <w:t>p</w:t>
      </w:r>
      <w:r w:rsidR="00274A50">
        <w:t xml:space="preserve">ursuant to Chapter 17 of the </w:t>
      </w:r>
      <w:r w:rsidR="00FA4F8A">
        <w:t xml:space="preserve">Rules Regulating the Florida Bar. </w:t>
      </w:r>
      <w:r w:rsidR="00DB0312">
        <w:t xml:space="preserve">This memorandum provides information and caselaw </w:t>
      </w:r>
      <w:r w:rsidR="00A55789">
        <w:t xml:space="preserve">detailing </w:t>
      </w:r>
      <w:r w:rsidR="001237DA">
        <w:t xml:space="preserve">Mr. Stamates’ applicability </w:t>
      </w:r>
      <w:r w:rsidR="00A55789">
        <w:t xml:space="preserve">for House Counsel Status </w:t>
      </w:r>
      <w:r w:rsidR="00D63082">
        <w:t xml:space="preserve">under Chapter 17. Specifically, the memorandum contains support for why the Florida Bar should consider </w:t>
      </w:r>
      <w:r w:rsidR="0020270A">
        <w:t>a</w:t>
      </w:r>
      <w:r w:rsidR="0041270A">
        <w:t xml:space="preserve">n </w:t>
      </w:r>
      <w:r w:rsidR="00D63082">
        <w:t>attorney licensed</w:t>
      </w:r>
      <w:r w:rsidR="0041270A">
        <w:t xml:space="preserve"> by an Indian Tribe to practice law as an </w:t>
      </w:r>
      <w:r w:rsidR="00C63485">
        <w:t>attorney</w:t>
      </w:r>
      <w:r w:rsidR="0041270A">
        <w:t xml:space="preserve"> licensed “in a United States jurisdiction other </w:t>
      </w:r>
      <w:r w:rsidR="00C63485">
        <w:t>than Florida” for the purposes of</w:t>
      </w:r>
      <w:r w:rsidR="00D63082">
        <w:t xml:space="preserve"> Chapter</w:t>
      </w:r>
      <w:r w:rsidR="00C63485">
        <w:t xml:space="preserve"> 17-1.2(a). </w:t>
      </w:r>
    </w:p>
    <w:p w14:paraId="2819559F" w14:textId="77777777" w:rsidR="00D63082" w:rsidRDefault="00D63082" w:rsidP="00D63082">
      <w:pPr>
        <w:jc w:val="both"/>
      </w:pPr>
    </w:p>
    <w:p w14:paraId="7D1CAEB8" w14:textId="49487991" w:rsidR="00C935BA" w:rsidRPr="00026AFF" w:rsidRDefault="007B5051" w:rsidP="00026AFF">
      <w:pPr>
        <w:pStyle w:val="ListParagraph"/>
        <w:numPr>
          <w:ilvl w:val="0"/>
          <w:numId w:val="1"/>
        </w:numPr>
        <w:rPr>
          <w:b/>
          <w:bCs/>
        </w:rPr>
      </w:pPr>
      <w:r w:rsidRPr="00C935BA">
        <w:rPr>
          <w:b/>
          <w:bCs/>
        </w:rPr>
        <w:t xml:space="preserve">Mr. Stamates meets Chapter 17 </w:t>
      </w:r>
      <w:r w:rsidR="004B6A2F">
        <w:rPr>
          <w:b/>
          <w:bCs/>
        </w:rPr>
        <w:t xml:space="preserve">requirements </w:t>
      </w:r>
      <w:r w:rsidR="00105D62" w:rsidRPr="00C935BA">
        <w:rPr>
          <w:b/>
          <w:bCs/>
        </w:rPr>
        <w:t xml:space="preserve">to be </w:t>
      </w:r>
      <w:r w:rsidR="001D0A64" w:rsidRPr="00C935BA">
        <w:rPr>
          <w:b/>
          <w:bCs/>
        </w:rPr>
        <w:t xml:space="preserve">authorized as house counsel. </w:t>
      </w:r>
    </w:p>
    <w:p w14:paraId="477BE740" w14:textId="6550BC26" w:rsidR="005236BE" w:rsidRDefault="001D0A64" w:rsidP="00026AFF">
      <w:pPr>
        <w:ind w:firstLine="360"/>
        <w:jc w:val="both"/>
      </w:pPr>
      <w:r>
        <w:t xml:space="preserve">Pursuant to Chapter 17 of the Rules Regulating </w:t>
      </w:r>
      <w:r w:rsidR="00760E00">
        <w:t xml:space="preserve">the Florida Bar, an authorized house counsel must: (1) </w:t>
      </w:r>
      <w:r w:rsidR="00CD3662">
        <w:t xml:space="preserve">be </w:t>
      </w:r>
      <w:r w:rsidR="00760E00">
        <w:t>“…either licensed to practice law in a United States jurisdiction other than Florida…” and “…</w:t>
      </w:r>
      <w:r w:rsidR="00307D28">
        <w:t>subject to effective regulation and discipline by a duly constituted professional body or public authority or subject to recognized legal ob</w:t>
      </w:r>
      <w:r w:rsidR="00CD3662">
        <w:t>ligations</w:t>
      </w:r>
      <w:r w:rsidR="00307D28">
        <w:t xml:space="preserve"> pertaining to their status as lawyers</w:t>
      </w:r>
      <w:r w:rsidR="00CD3662">
        <w:t>,</w:t>
      </w:r>
      <w:r w:rsidR="00307D28">
        <w:t>”</w:t>
      </w:r>
      <w:r w:rsidR="00CD3662">
        <w:t xml:space="preserve"> (2) be exclusively employed by a business organization located in Florida and is residing in Florida…,” (3) have completed an application for certification, and (4) have been certified as an authorized house counsel by the Supreme Court of Florida.</w:t>
      </w:r>
      <w:r w:rsidR="00CD3662">
        <w:rPr>
          <w:rStyle w:val="FootnoteReference"/>
        </w:rPr>
        <w:footnoteReference w:id="1"/>
      </w:r>
      <w:r w:rsidR="007B4050">
        <w:t xml:space="preserve"> Mr. Stamates meets the requirements in </w:t>
      </w:r>
      <w:r w:rsidR="001224FC">
        <w:t>sections one, two, and three o</w:t>
      </w:r>
      <w:r w:rsidR="00A2077E">
        <w:t>f Chapter 17 and requests</w:t>
      </w:r>
      <w:r w:rsidR="001224FC">
        <w:t>, pursuant to section four,</w:t>
      </w:r>
      <w:r w:rsidR="00A2077E">
        <w:t xml:space="preserve"> the Supreme Court of Florida certify him as an authorized house counsel.</w:t>
      </w:r>
      <w:r w:rsidR="001224FC">
        <w:t xml:space="preserve"> The information submitted below further supports Mr. Stamates’ eligibility for house counsel status:</w:t>
      </w:r>
    </w:p>
    <w:p w14:paraId="6928EA5B" w14:textId="7A4B1A45" w:rsidR="00D91032" w:rsidRDefault="00C935BA" w:rsidP="00026AFF">
      <w:pPr>
        <w:pStyle w:val="ListParagraph"/>
        <w:numPr>
          <w:ilvl w:val="0"/>
          <w:numId w:val="2"/>
        </w:numPr>
        <w:jc w:val="both"/>
      </w:pPr>
      <w:r>
        <w:t>Mr. Stamates</w:t>
      </w:r>
      <w:r w:rsidR="003016FA">
        <w:t xml:space="preserve"> holds a Juris Doctor from the University of Michigan Law School</w:t>
      </w:r>
      <w:r w:rsidR="0023684C">
        <w:t xml:space="preserve">, an ABA-accredited law school, and </w:t>
      </w:r>
      <w:r w:rsidR="003016FA">
        <w:t xml:space="preserve">is licensed to practice law </w:t>
      </w:r>
      <w:r w:rsidR="00D35F66">
        <w:t xml:space="preserve">before the St. Croix Chippewa Indians of Wisconsin </w:t>
      </w:r>
      <w:r w:rsidR="00622192">
        <w:t xml:space="preserve">(“St. Croix Tribe”) </w:t>
      </w:r>
      <w:r w:rsidR="00D35F66">
        <w:t>Tribal Court</w:t>
      </w:r>
      <w:r w:rsidR="00D91032">
        <w:t>.</w:t>
      </w:r>
    </w:p>
    <w:p w14:paraId="1F6226BE" w14:textId="77777777" w:rsidR="000A208C" w:rsidRDefault="000A208C" w:rsidP="00026AFF">
      <w:pPr>
        <w:pStyle w:val="ListParagraph"/>
        <w:jc w:val="both"/>
      </w:pPr>
    </w:p>
    <w:p w14:paraId="03103231" w14:textId="453434DD" w:rsidR="000A208C" w:rsidRDefault="000A208C" w:rsidP="007F26A1">
      <w:pPr>
        <w:pStyle w:val="ListParagraph"/>
        <w:numPr>
          <w:ilvl w:val="0"/>
          <w:numId w:val="2"/>
        </w:numPr>
        <w:jc w:val="both"/>
      </w:pPr>
      <w:r>
        <w:t>The St. Croix Chippewa Indians of Wisconsin</w:t>
      </w:r>
      <w:r w:rsidR="007F26A1">
        <w:t>, a federally recognized Indian Tribe,</w:t>
      </w:r>
      <w:r>
        <w:t xml:space="preserve"> </w:t>
      </w:r>
      <w:r w:rsidR="00BD7DD3">
        <w:t>is</w:t>
      </w:r>
      <w:r w:rsidR="008F5020">
        <w:t xml:space="preserve"> </w:t>
      </w:r>
      <w:r w:rsidR="00BD7DD3">
        <w:t>a “United States jurisdiction other than Florida</w:t>
      </w:r>
      <w:r w:rsidR="008F5020">
        <w:t>,</w:t>
      </w:r>
      <w:r w:rsidR="00BB4BAF">
        <w:t>”</w:t>
      </w:r>
      <w:r w:rsidR="008F5020">
        <w:t xml:space="preserve"> within the meaning of Chapter 17 of the Rules Regulating the Florida Bar.</w:t>
      </w:r>
    </w:p>
    <w:p w14:paraId="279FA230" w14:textId="77777777" w:rsidR="002F2546" w:rsidRDefault="002F2546" w:rsidP="00026AFF">
      <w:pPr>
        <w:pStyle w:val="ListParagraph"/>
        <w:jc w:val="both"/>
      </w:pPr>
    </w:p>
    <w:p w14:paraId="3A29B045" w14:textId="77777777" w:rsidR="009B398A" w:rsidRDefault="002F2546" w:rsidP="00823DF8">
      <w:pPr>
        <w:pStyle w:val="ListParagraph"/>
        <w:numPr>
          <w:ilvl w:val="0"/>
          <w:numId w:val="2"/>
        </w:numPr>
        <w:jc w:val="both"/>
      </w:pPr>
      <w:r>
        <w:t>Mr. Stamates had to undergo an official application process to be admitted to practice in the St. Croix Tribal Court.</w:t>
      </w:r>
      <w:r>
        <w:rPr>
          <w:rStyle w:val="FootnoteReference"/>
        </w:rPr>
        <w:footnoteReference w:id="2"/>
      </w:r>
      <w:r>
        <w:t xml:space="preserve">  </w:t>
      </w:r>
      <w:r w:rsidR="00D80160">
        <w:t>He was admitted on October 13, 2022.</w:t>
      </w:r>
    </w:p>
    <w:p w14:paraId="6C5C0927" w14:textId="77777777" w:rsidR="009B398A" w:rsidRDefault="009B398A" w:rsidP="009B398A">
      <w:pPr>
        <w:pStyle w:val="ListParagraph"/>
      </w:pPr>
    </w:p>
    <w:p w14:paraId="6E97BA61" w14:textId="13E49782" w:rsidR="009B398A" w:rsidRDefault="002F2546" w:rsidP="00823DF8">
      <w:pPr>
        <w:pStyle w:val="ListParagraph"/>
        <w:numPr>
          <w:ilvl w:val="0"/>
          <w:numId w:val="2"/>
        </w:numPr>
        <w:jc w:val="both"/>
      </w:pPr>
      <w:r>
        <w:t xml:space="preserve">Furthermore, </w:t>
      </w:r>
      <w:r w:rsidR="00C40C92">
        <w:t xml:space="preserve">Mr. Stamates is </w:t>
      </w:r>
      <w:r w:rsidR="00BB4BAF">
        <w:t>“</w:t>
      </w:r>
      <w:r w:rsidR="00C40C92">
        <w:t xml:space="preserve">subject to </w:t>
      </w:r>
      <w:r w:rsidR="00BB4BAF">
        <w:t>effective regulation and discipline by a duly constituted professional body,”</w:t>
      </w:r>
      <w:r w:rsidR="00B03362">
        <w:t xml:space="preserve"> as required by Chapter 17,</w:t>
      </w:r>
      <w:r w:rsidR="00BB4BAF">
        <w:t xml:space="preserve"> as </w:t>
      </w:r>
      <w:r w:rsidR="006564ED">
        <w:t>Mr. Stamates</w:t>
      </w:r>
      <w:r w:rsidR="00131351">
        <w:t xml:space="preserve">, as a licensed </w:t>
      </w:r>
      <w:r w:rsidR="00131351">
        <w:lastRenderedPageBreak/>
        <w:t>practitioner, is</w:t>
      </w:r>
      <w:r w:rsidR="006564ED">
        <w:t xml:space="preserve"> subject to </w:t>
      </w:r>
      <w:r w:rsidR="00C40C92">
        <w:t>suspension or dis</w:t>
      </w:r>
      <w:r w:rsidR="00D641F6">
        <w:t>barment from practice by the St. Croix Tribal Court</w:t>
      </w:r>
      <w:r w:rsidR="000C750D">
        <w:t>.</w:t>
      </w:r>
      <w:r w:rsidR="009B398A">
        <w:rPr>
          <w:rStyle w:val="FootnoteReference"/>
        </w:rPr>
        <w:footnoteReference w:id="3"/>
      </w:r>
    </w:p>
    <w:p w14:paraId="4DD5FE85" w14:textId="77777777" w:rsidR="009B398A" w:rsidRDefault="009B398A" w:rsidP="009B398A">
      <w:pPr>
        <w:pStyle w:val="ListParagraph"/>
      </w:pPr>
    </w:p>
    <w:p w14:paraId="71799131" w14:textId="368A3172" w:rsidR="006564ED" w:rsidRDefault="006564ED" w:rsidP="00986D31">
      <w:pPr>
        <w:pStyle w:val="ListParagraph"/>
        <w:numPr>
          <w:ilvl w:val="0"/>
          <w:numId w:val="2"/>
        </w:numPr>
        <w:jc w:val="both"/>
      </w:pPr>
      <w:r>
        <w:t>Mr. Stamates is employed by Fidelity National Title Insurance, a Florida-based business organization, and Mr. Stamates resides in Florida.</w:t>
      </w:r>
    </w:p>
    <w:p w14:paraId="16B31C05" w14:textId="77777777" w:rsidR="00B03362" w:rsidRDefault="00B03362" w:rsidP="00026AFF">
      <w:pPr>
        <w:pStyle w:val="ListParagraph"/>
        <w:jc w:val="both"/>
      </w:pPr>
    </w:p>
    <w:p w14:paraId="08469447" w14:textId="26C9A5EF" w:rsidR="00B03362" w:rsidRDefault="00B03362" w:rsidP="00026AFF">
      <w:pPr>
        <w:pStyle w:val="ListParagraph"/>
        <w:numPr>
          <w:ilvl w:val="0"/>
          <w:numId w:val="2"/>
        </w:numPr>
        <w:jc w:val="both"/>
      </w:pPr>
      <w:r>
        <w:t xml:space="preserve">Furthermore, Mr. Stamates </w:t>
      </w:r>
      <w:r w:rsidR="00C31F3E">
        <w:t>completed an application for certification</w:t>
      </w:r>
      <w:r w:rsidR="000C750D">
        <w:t xml:space="preserve"> </w:t>
      </w:r>
      <w:r w:rsidR="001224FC">
        <w:t xml:space="preserve">as house counsel </w:t>
      </w:r>
      <w:r w:rsidR="00131351">
        <w:t xml:space="preserve">in Florida </w:t>
      </w:r>
      <w:r w:rsidR="000C750D">
        <w:t>as required by the Rules Regulating the Florida Bar</w:t>
      </w:r>
      <w:r w:rsidR="00C31F3E">
        <w:t>.</w:t>
      </w:r>
      <w:r>
        <w:t xml:space="preserve"> </w:t>
      </w:r>
    </w:p>
    <w:p w14:paraId="516BDAD4" w14:textId="31B6E16A" w:rsidR="00C935BA" w:rsidRDefault="00C935BA" w:rsidP="002F22ED">
      <w:pPr>
        <w:pStyle w:val="ListParagraph"/>
        <w:ind w:left="1080"/>
        <w:jc w:val="both"/>
      </w:pPr>
    </w:p>
    <w:p w14:paraId="4FF276A6" w14:textId="77777777" w:rsidR="00C935BA" w:rsidRDefault="00C935BA" w:rsidP="00723461">
      <w:pPr>
        <w:pStyle w:val="ListParagraph"/>
        <w:ind w:left="1080"/>
      </w:pPr>
    </w:p>
    <w:p w14:paraId="42B338A6" w14:textId="20552447" w:rsidR="009B398A" w:rsidRPr="002952FE" w:rsidRDefault="00331EB0" w:rsidP="009B398A">
      <w:pPr>
        <w:pStyle w:val="ListParagraph"/>
        <w:numPr>
          <w:ilvl w:val="0"/>
          <w:numId w:val="1"/>
        </w:numPr>
        <w:rPr>
          <w:b/>
          <w:bCs/>
        </w:rPr>
      </w:pPr>
      <w:r>
        <w:rPr>
          <w:b/>
          <w:bCs/>
        </w:rPr>
        <w:t>Indian Tribes are sovereign entities with the authority to promulgate their own legislation</w:t>
      </w:r>
      <w:r w:rsidR="002952FE">
        <w:rPr>
          <w:b/>
          <w:bCs/>
        </w:rPr>
        <w:t xml:space="preserve"> and rules.</w:t>
      </w:r>
    </w:p>
    <w:p w14:paraId="02A43C10" w14:textId="246065C2" w:rsidR="002809EE" w:rsidRPr="00B257CD" w:rsidRDefault="00077556" w:rsidP="00B257CD">
      <w:pPr>
        <w:ind w:firstLine="360"/>
        <w:jc w:val="both"/>
        <w:rPr>
          <w:rFonts w:cstheme="minorHAnsi"/>
        </w:rPr>
      </w:pPr>
      <w:r w:rsidRPr="002F22ED">
        <w:rPr>
          <w:rFonts w:cstheme="minorHAnsi"/>
        </w:rPr>
        <w:t>Indian Tribes are distinct, independent political communities, separate from state governments.</w:t>
      </w:r>
      <w:r w:rsidRPr="002F22ED">
        <w:rPr>
          <w:rStyle w:val="FootnoteReference"/>
          <w:rFonts w:cstheme="minorHAnsi"/>
        </w:rPr>
        <w:footnoteReference w:id="4"/>
      </w:r>
      <w:r w:rsidR="00CE6B54" w:rsidRPr="002F22ED">
        <w:rPr>
          <w:rFonts w:cstheme="minorHAnsi"/>
        </w:rPr>
        <w:t xml:space="preserve"> </w:t>
      </w:r>
      <w:r w:rsidR="002952FE">
        <w:rPr>
          <w:rFonts w:cstheme="minorHAnsi"/>
        </w:rPr>
        <w:t>Tribes are considered domestic, dependent nations</w:t>
      </w:r>
      <w:r w:rsidR="00E17F93">
        <w:rPr>
          <w:rStyle w:val="FootnoteReference"/>
          <w:rFonts w:cstheme="minorHAnsi"/>
        </w:rPr>
        <w:footnoteReference w:id="5"/>
      </w:r>
      <w:r w:rsidR="00E17F93">
        <w:rPr>
          <w:rFonts w:cstheme="minorHAnsi"/>
        </w:rPr>
        <w:t xml:space="preserve">, and are referred to by many legal scholars </w:t>
      </w:r>
      <w:r w:rsidR="00EC059E">
        <w:rPr>
          <w:rFonts w:cstheme="minorHAnsi"/>
        </w:rPr>
        <w:t>as the “third sovereign in the United States.”</w:t>
      </w:r>
      <w:r w:rsidR="00EC059E" w:rsidRPr="002F22ED">
        <w:rPr>
          <w:rFonts w:eastAsia="Times New Roman" w:cstheme="minorHAnsi"/>
          <w:color w:val="111111"/>
          <w:highlight w:val="white"/>
          <w:vertAlign w:val="superscript"/>
        </w:rPr>
        <w:footnoteReference w:id="6"/>
      </w:r>
      <w:r w:rsidR="00B257CD">
        <w:rPr>
          <w:rFonts w:cstheme="minorHAnsi"/>
        </w:rPr>
        <w:t xml:space="preserve"> In referring to Tribes, former Supreme Court Justice Sandra Day O’Connor noted that </w:t>
      </w:r>
      <w:r w:rsidR="003D45E9">
        <w:rPr>
          <w:rFonts w:eastAsia="Times New Roman" w:cstheme="minorHAnsi"/>
          <w:color w:val="111111"/>
          <w:highlight w:val="white"/>
        </w:rPr>
        <w:t xml:space="preserve">“in the United States, </w:t>
      </w:r>
      <w:r w:rsidR="002F22ED" w:rsidRPr="002F22ED">
        <w:rPr>
          <w:rFonts w:eastAsia="Times New Roman" w:cstheme="minorHAnsi"/>
          <w:color w:val="111111"/>
          <w:highlight w:val="white"/>
        </w:rPr>
        <w:t>we have three types of sovereign entities-the Federal government, the States, and the Indian tribes. Each of the three sovereigns has its own judicial system, and each plays an important role in the administration of justice in this country.</w:t>
      </w:r>
      <w:r w:rsidR="003D45E9">
        <w:rPr>
          <w:rFonts w:eastAsia="Times New Roman" w:cstheme="minorHAnsi"/>
          <w:color w:val="111111"/>
          <w:highlight w:val="white"/>
        </w:rPr>
        <w:t>”</w:t>
      </w:r>
      <w:r w:rsidR="002F22ED" w:rsidRPr="002F22ED">
        <w:rPr>
          <w:rFonts w:eastAsia="Times New Roman" w:cstheme="minorHAnsi"/>
          <w:color w:val="111111"/>
          <w:highlight w:val="white"/>
          <w:vertAlign w:val="superscript"/>
        </w:rPr>
        <w:footnoteReference w:id="7"/>
      </w:r>
      <w:r w:rsidR="003D45E9">
        <w:rPr>
          <w:rFonts w:eastAsia="Times New Roman" w:cstheme="minorHAnsi"/>
          <w:color w:val="111111"/>
          <w:highlight w:val="white"/>
        </w:rPr>
        <w:t xml:space="preserve"> </w:t>
      </w:r>
    </w:p>
    <w:p w14:paraId="04157CFA" w14:textId="42BC010E" w:rsidR="00A76292" w:rsidRDefault="002809EE" w:rsidP="006413CC">
      <w:pPr>
        <w:ind w:firstLine="360"/>
        <w:jc w:val="both"/>
        <w:rPr>
          <w:rFonts w:eastAsia="Times New Roman" w:cstheme="minorHAnsi"/>
          <w:color w:val="111111"/>
        </w:rPr>
      </w:pPr>
      <w:r>
        <w:rPr>
          <w:rFonts w:eastAsia="Times New Roman" w:cstheme="minorHAnsi"/>
          <w:color w:val="111111"/>
        </w:rPr>
        <w:t>As</w:t>
      </w:r>
      <w:r w:rsidR="00B5544E">
        <w:rPr>
          <w:rFonts w:eastAsia="Times New Roman" w:cstheme="minorHAnsi"/>
          <w:color w:val="111111"/>
        </w:rPr>
        <w:t xml:space="preserve"> </w:t>
      </w:r>
      <w:r>
        <w:rPr>
          <w:rFonts w:eastAsia="Times New Roman" w:cstheme="minorHAnsi"/>
          <w:color w:val="111111"/>
        </w:rPr>
        <w:t>in any state system or the federal system, courts are</w:t>
      </w:r>
      <w:r w:rsidR="00B5544E">
        <w:rPr>
          <w:rFonts w:eastAsia="Times New Roman" w:cstheme="minorHAnsi"/>
          <w:color w:val="111111"/>
        </w:rPr>
        <w:t xml:space="preserve"> duly</w:t>
      </w:r>
      <w:r>
        <w:rPr>
          <w:rFonts w:eastAsia="Times New Roman" w:cstheme="minorHAnsi"/>
          <w:color w:val="111111"/>
        </w:rPr>
        <w:t xml:space="preserve"> important in Tribal government</w:t>
      </w:r>
      <w:r w:rsidR="00B5544E">
        <w:rPr>
          <w:rFonts w:eastAsia="Times New Roman" w:cstheme="minorHAnsi"/>
          <w:color w:val="111111"/>
        </w:rPr>
        <w:t>s</w:t>
      </w:r>
      <w:r>
        <w:rPr>
          <w:rFonts w:eastAsia="Times New Roman" w:cstheme="minorHAnsi"/>
          <w:color w:val="111111"/>
        </w:rPr>
        <w:t xml:space="preserve">. The Supreme Court noted “Tribal courts play a vital role in </w:t>
      </w:r>
      <w:r w:rsidR="00636EC1">
        <w:rPr>
          <w:rFonts w:eastAsia="Times New Roman" w:cstheme="minorHAnsi"/>
          <w:color w:val="111111"/>
        </w:rPr>
        <w:t>tribal self-government and the Federal Government has consistently encouraged their development.”</w:t>
      </w:r>
      <w:r w:rsidR="00636EC1">
        <w:rPr>
          <w:rStyle w:val="FootnoteReference"/>
          <w:rFonts w:eastAsia="Times New Roman" w:cstheme="minorHAnsi"/>
          <w:color w:val="111111"/>
        </w:rPr>
        <w:footnoteReference w:id="8"/>
      </w:r>
      <w:r w:rsidR="00A76292">
        <w:rPr>
          <w:rFonts w:eastAsia="Times New Roman" w:cstheme="minorHAnsi"/>
          <w:color w:val="111111"/>
        </w:rPr>
        <w:t xml:space="preserve"> Federal courts recognize Tribal Court sovereignty, requiring</w:t>
      </w:r>
      <w:r w:rsidR="006413CC">
        <w:rPr>
          <w:rFonts w:eastAsia="Times New Roman" w:cstheme="minorHAnsi"/>
          <w:color w:val="111111"/>
        </w:rPr>
        <w:t xml:space="preserve"> p</w:t>
      </w:r>
      <w:r w:rsidR="00682EF0">
        <w:rPr>
          <w:rFonts w:eastAsia="Times New Roman" w:cstheme="minorHAnsi"/>
          <w:color w:val="111111"/>
        </w:rPr>
        <w:t>etition</w:t>
      </w:r>
      <w:r w:rsidR="00674C0B">
        <w:rPr>
          <w:rFonts w:eastAsia="Times New Roman" w:cstheme="minorHAnsi"/>
          <w:color w:val="111111"/>
        </w:rPr>
        <w:t>er</w:t>
      </w:r>
      <w:r w:rsidR="00682EF0">
        <w:rPr>
          <w:rFonts w:eastAsia="Times New Roman" w:cstheme="minorHAnsi"/>
          <w:color w:val="111111"/>
        </w:rPr>
        <w:t xml:space="preserve">s </w:t>
      </w:r>
      <w:r w:rsidR="00B435C9">
        <w:rPr>
          <w:rFonts w:eastAsia="Times New Roman" w:cstheme="minorHAnsi"/>
          <w:color w:val="111111"/>
        </w:rPr>
        <w:t xml:space="preserve">in a suit </w:t>
      </w:r>
      <w:r w:rsidR="00682EF0">
        <w:rPr>
          <w:rFonts w:eastAsia="Times New Roman" w:cstheme="minorHAnsi"/>
          <w:color w:val="111111"/>
        </w:rPr>
        <w:t>exhaust remedies in Tribal Court before pursuing relief in federal court.</w:t>
      </w:r>
      <w:r w:rsidR="00682EF0">
        <w:rPr>
          <w:rStyle w:val="FootnoteReference"/>
          <w:rFonts w:eastAsia="Times New Roman" w:cstheme="minorHAnsi"/>
          <w:color w:val="111111"/>
        </w:rPr>
        <w:footnoteReference w:id="9"/>
      </w:r>
      <w:r w:rsidR="00693323">
        <w:rPr>
          <w:rFonts w:eastAsia="Times New Roman" w:cstheme="minorHAnsi"/>
          <w:color w:val="111111"/>
        </w:rPr>
        <w:t xml:space="preserve"> Further, Tribal Courts are recognized as courts of an independent sovereign.</w:t>
      </w:r>
      <w:r w:rsidR="002C786F">
        <w:rPr>
          <w:rStyle w:val="FootnoteReference"/>
          <w:rFonts w:eastAsia="Times New Roman" w:cstheme="minorHAnsi"/>
          <w:color w:val="111111"/>
        </w:rPr>
        <w:footnoteReference w:id="10"/>
      </w:r>
      <w:r w:rsidR="00693323">
        <w:rPr>
          <w:rFonts w:eastAsia="Times New Roman" w:cstheme="minorHAnsi"/>
          <w:color w:val="111111"/>
        </w:rPr>
        <w:t xml:space="preserve"> </w:t>
      </w:r>
      <w:r w:rsidR="00670105">
        <w:rPr>
          <w:rFonts w:eastAsia="Times New Roman" w:cstheme="minorHAnsi"/>
          <w:color w:val="111111"/>
        </w:rPr>
        <w:t>They have further been acknowledged by the American Bar Association as “</w:t>
      </w:r>
      <w:r w:rsidR="00D72EDC">
        <w:rPr>
          <w:rFonts w:eastAsia="Times New Roman" w:cstheme="minorHAnsi"/>
          <w:color w:val="111111"/>
        </w:rPr>
        <w:t>an integral part of the American system of justice.”</w:t>
      </w:r>
      <w:r w:rsidR="00D72EDC">
        <w:rPr>
          <w:rStyle w:val="FootnoteReference"/>
          <w:rFonts w:eastAsia="Times New Roman" w:cstheme="minorHAnsi"/>
          <w:color w:val="111111"/>
        </w:rPr>
        <w:footnoteReference w:id="11"/>
      </w:r>
    </w:p>
    <w:p w14:paraId="53405B36" w14:textId="5D598009" w:rsidR="00327BCC" w:rsidRDefault="002C786F" w:rsidP="00B435C9">
      <w:pPr>
        <w:ind w:firstLine="360"/>
        <w:jc w:val="both"/>
      </w:pPr>
      <w:r>
        <w:t>Tribes possess the inherent authority and power to regulate their “internal and social relations.”</w:t>
      </w:r>
      <w:r>
        <w:rPr>
          <w:rStyle w:val="FootnoteReference"/>
        </w:rPr>
        <w:footnoteReference w:id="12"/>
      </w:r>
      <w:r>
        <w:t xml:space="preserve"> Part of their inherent authority to regulate internal relations includes the authority to select legal counsel, promulgate Tribal Courts, and decide rules for admittance and regulation to practice in Tribal Court</w:t>
      </w:r>
      <w:r w:rsidR="00770EE0">
        <w:t>s</w:t>
      </w:r>
      <w:r>
        <w:t>. The ability to select counsel and admit attorneys to practice in courts is at the heart of self-govern</w:t>
      </w:r>
      <w:r w:rsidR="00770EE0">
        <w:t>ance</w:t>
      </w:r>
      <w:r>
        <w:t xml:space="preserve"> and </w:t>
      </w:r>
      <w:r>
        <w:lastRenderedPageBreak/>
        <w:t xml:space="preserve">sovereignty. </w:t>
      </w:r>
      <w:r w:rsidR="00B435C9">
        <w:t xml:space="preserve"> Tribal governments have the authority to “determine their own governance structures, pass </w:t>
      </w:r>
      <w:proofErr w:type="gramStart"/>
      <w:r w:rsidR="00B435C9">
        <w:t>laws,  and</w:t>
      </w:r>
      <w:proofErr w:type="gramEnd"/>
      <w:r w:rsidR="00B435C9">
        <w:t xml:space="preserve"> enforce laws through police departments and tribal courts.”</w:t>
      </w:r>
      <w:r w:rsidR="00B435C9">
        <w:rPr>
          <w:rStyle w:val="FootnoteReference"/>
        </w:rPr>
        <w:footnoteReference w:id="13"/>
      </w:r>
      <w:r w:rsidR="00F257AC">
        <w:t xml:space="preserve"> The Supreme Court has upheld Tribes’ </w:t>
      </w:r>
      <w:r w:rsidR="00AC27F9">
        <w:t xml:space="preserve">inherent power to govern, </w:t>
      </w:r>
      <w:r w:rsidR="00A527BE">
        <w:t>which is vested in Tribal Council.</w:t>
      </w:r>
      <w:r w:rsidR="00A527BE" w:rsidRPr="00A527BE">
        <w:rPr>
          <w:rStyle w:val="FootnoteReference"/>
        </w:rPr>
        <w:t xml:space="preserve"> </w:t>
      </w:r>
      <w:r w:rsidR="00A527BE">
        <w:rPr>
          <w:rStyle w:val="FootnoteReference"/>
        </w:rPr>
        <w:footnoteReference w:id="14"/>
      </w:r>
    </w:p>
    <w:p w14:paraId="0307188A" w14:textId="77777777" w:rsidR="00B435C9" w:rsidRDefault="00B435C9" w:rsidP="00B435C9">
      <w:pPr>
        <w:ind w:firstLine="360"/>
        <w:jc w:val="both"/>
      </w:pPr>
    </w:p>
    <w:p w14:paraId="79D8B66F" w14:textId="48B089D4" w:rsidR="004355A1" w:rsidRPr="002C786F" w:rsidRDefault="004355A1" w:rsidP="004355A1">
      <w:pPr>
        <w:pStyle w:val="ListParagraph"/>
        <w:numPr>
          <w:ilvl w:val="0"/>
          <w:numId w:val="1"/>
        </w:numPr>
        <w:rPr>
          <w:b/>
          <w:bCs/>
        </w:rPr>
      </w:pPr>
      <w:r>
        <w:rPr>
          <w:b/>
          <w:bCs/>
        </w:rPr>
        <w:t xml:space="preserve">The St. Croix </w:t>
      </w:r>
      <w:r w:rsidR="00026AFF">
        <w:rPr>
          <w:b/>
          <w:bCs/>
        </w:rPr>
        <w:t xml:space="preserve">Chippewa </w:t>
      </w:r>
      <w:r>
        <w:rPr>
          <w:b/>
          <w:bCs/>
        </w:rPr>
        <w:t xml:space="preserve">Tribe is a sovereign Tribe with the authority to </w:t>
      </w:r>
      <w:r w:rsidR="00B435C9">
        <w:rPr>
          <w:b/>
          <w:bCs/>
        </w:rPr>
        <w:t>legislate.</w:t>
      </w:r>
    </w:p>
    <w:p w14:paraId="292E3BBB" w14:textId="2502EF88" w:rsidR="007056DD" w:rsidRDefault="00135D07" w:rsidP="00B435C9">
      <w:pPr>
        <w:ind w:firstLine="360"/>
        <w:jc w:val="both"/>
      </w:pPr>
      <w:r>
        <w:t xml:space="preserve">The St. Croix Chippewa Indians of Wisconsin </w:t>
      </w:r>
      <w:r w:rsidR="00026AFF">
        <w:t>is</w:t>
      </w:r>
      <w:r>
        <w:t xml:space="preserve"> a federally recognized Indian Tribe.</w:t>
      </w:r>
      <w:r>
        <w:rPr>
          <w:rStyle w:val="FootnoteReference"/>
        </w:rPr>
        <w:footnoteReference w:id="15"/>
      </w:r>
      <w:r w:rsidR="004355A1">
        <w:t xml:space="preserve"> The Tribe is governed by a Tribal Council, </w:t>
      </w:r>
      <w:r w:rsidR="00D52CF6">
        <w:t>an elected governmental body with the power to legislate.</w:t>
      </w:r>
      <w:r w:rsidR="00530440">
        <w:rPr>
          <w:rStyle w:val="FootnoteReference"/>
        </w:rPr>
        <w:footnoteReference w:id="16"/>
      </w:r>
      <w:r w:rsidR="00D52CF6">
        <w:t xml:space="preserve"> </w:t>
      </w:r>
      <w:r w:rsidR="00B435C9">
        <w:t>The St. Croix Constitution was approved by the U.S. Federal Government in 1942.</w:t>
      </w:r>
      <w:r w:rsidR="00B435C9">
        <w:rPr>
          <w:rStyle w:val="FootnoteReference"/>
        </w:rPr>
        <w:footnoteReference w:id="17"/>
      </w:r>
      <w:r w:rsidR="00B435C9">
        <w:t xml:space="preserve"> Further, the St. Croix Constitution </w:t>
      </w:r>
      <w:r w:rsidR="002B4C55">
        <w:t>specifically enumerates the Council’s authority to employ legal counsel.</w:t>
      </w:r>
      <w:r w:rsidR="002B4C55">
        <w:rPr>
          <w:rStyle w:val="FootnoteReference"/>
        </w:rPr>
        <w:footnoteReference w:id="18"/>
      </w:r>
      <w:r w:rsidR="002B4C55">
        <w:t xml:space="preserve"> </w:t>
      </w:r>
      <w:r w:rsidR="00B435C9">
        <w:t>The ability to employ legal counsel and license attorneys is integral to the Tribe’s sovereignty and self-governance, and has been approved by the U.S. Federal Government.</w:t>
      </w:r>
    </w:p>
    <w:p w14:paraId="4295FD30" w14:textId="75A5445C" w:rsidR="00B26E9C" w:rsidRDefault="002B4C55" w:rsidP="00026AFF">
      <w:pPr>
        <w:ind w:firstLine="360"/>
        <w:jc w:val="both"/>
      </w:pPr>
      <w:r>
        <w:t>The St. Croix Tribal Council exercised their inherent sovereign authority, as well as authority pursuant to the</w:t>
      </w:r>
      <w:r w:rsidR="00B435C9">
        <w:t xml:space="preserve"> St. Croix</w:t>
      </w:r>
      <w:r>
        <w:t xml:space="preserve"> Constitution, in </w:t>
      </w:r>
      <w:r w:rsidR="00B80A96">
        <w:t xml:space="preserve">contracting with Mr. Stamates to provide legal services to the Tribe. The contract was </w:t>
      </w:r>
      <w:r w:rsidR="000D5B7B">
        <w:t xml:space="preserve">signed by Chairman William Reynolds, as well as several Tribal Council </w:t>
      </w:r>
      <w:r w:rsidR="000817B6">
        <w:t xml:space="preserve">members, and Tribal Court Chief Judge </w:t>
      </w:r>
      <w:r w:rsidR="00CD6431">
        <w:t xml:space="preserve">Steven </w:t>
      </w:r>
      <w:proofErr w:type="spellStart"/>
      <w:r w:rsidR="00CD6431">
        <w:t>Boulley</w:t>
      </w:r>
      <w:proofErr w:type="spellEnd"/>
      <w:r w:rsidR="00CD6431">
        <w:t>.</w:t>
      </w:r>
      <w:r w:rsidR="000D5B7B">
        <w:t xml:space="preserve"> </w:t>
      </w:r>
      <w:r w:rsidR="002C786F">
        <w:t xml:space="preserve">As the contract was approved and signed by the Tribal Council, it constitutes a legislative act </w:t>
      </w:r>
      <w:r w:rsidR="009F7D1C">
        <w:t xml:space="preserve">conducted by </w:t>
      </w:r>
      <w:r w:rsidR="002C786F">
        <w:t xml:space="preserve">a sovereign entity. </w:t>
      </w:r>
      <w:r w:rsidR="001C5942">
        <w:t>T</w:t>
      </w:r>
      <w:r w:rsidR="0064064B">
        <w:t xml:space="preserve">ribal Council has the inherent power to </w:t>
      </w:r>
      <w:r w:rsidR="003213F4">
        <w:t>legislate, and subsequently amend any legislation, including ordinances, orders, and codes, as determined necessary by the Tribal Council.</w:t>
      </w:r>
      <w:r w:rsidR="003213F4">
        <w:rPr>
          <w:rStyle w:val="FootnoteReference"/>
        </w:rPr>
        <w:footnoteReference w:id="19"/>
      </w:r>
      <w:r w:rsidR="009644B1">
        <w:t xml:space="preserve"> Thus, Tribal Council had the authority to determine </w:t>
      </w:r>
      <w:r w:rsidR="00DC497F">
        <w:t>Mr. Stamates’ eligibility to apply for licensure to practice law before the Tribal Court.</w:t>
      </w:r>
    </w:p>
    <w:p w14:paraId="64C6C5A6" w14:textId="2A021450" w:rsidR="006E4054" w:rsidRDefault="007056DD" w:rsidP="007056DD">
      <w:pPr>
        <w:ind w:firstLine="360"/>
        <w:jc w:val="both"/>
      </w:pPr>
      <w:r>
        <w:t xml:space="preserve">The </w:t>
      </w:r>
      <w:r w:rsidR="003557B5">
        <w:t xml:space="preserve">St. Croix </w:t>
      </w:r>
      <w:r>
        <w:t xml:space="preserve">Tribe </w:t>
      </w:r>
      <w:r w:rsidR="006E4054">
        <w:t xml:space="preserve">regulates its licensure </w:t>
      </w:r>
      <w:r w:rsidR="003557B5">
        <w:t>for attorneys to</w:t>
      </w:r>
      <w:r w:rsidR="00A8533C">
        <w:t xml:space="preserve"> practice </w:t>
      </w:r>
      <w:r w:rsidR="003557B5">
        <w:t xml:space="preserve">law </w:t>
      </w:r>
      <w:proofErr w:type="gramStart"/>
      <w:r w:rsidR="00A8533C">
        <w:t>similar to</w:t>
      </w:r>
      <w:proofErr w:type="gramEnd"/>
      <w:r w:rsidR="00A8533C">
        <w:t xml:space="preserve"> states’ regulation of admittance to </w:t>
      </w:r>
      <w:r w:rsidR="004423B3">
        <w:t>a</w:t>
      </w:r>
      <w:r w:rsidR="00A8533C">
        <w:t xml:space="preserve"> state bar. </w:t>
      </w:r>
      <w:r w:rsidR="003557B5">
        <w:t>Comparable</w:t>
      </w:r>
      <w:r w:rsidR="002E256B">
        <w:t xml:space="preserve"> to state procedures, t</w:t>
      </w:r>
      <w:r w:rsidR="00AD7198">
        <w:t xml:space="preserve">he </w:t>
      </w:r>
      <w:r w:rsidR="004423B3">
        <w:t xml:space="preserve">St. Croix </w:t>
      </w:r>
      <w:r w:rsidR="00AD7198">
        <w:t>Tribe has an established procedure for admission to practice</w:t>
      </w:r>
      <w:r w:rsidR="004423B3">
        <w:t xml:space="preserve">, </w:t>
      </w:r>
      <w:r w:rsidR="003557B5">
        <w:t>including</w:t>
      </w:r>
      <w:r w:rsidR="004423B3">
        <w:t xml:space="preserve"> an official written request for licensure</w:t>
      </w:r>
      <w:r w:rsidR="00176EFD">
        <w:t xml:space="preserve"> which must be filed with and, after evaluation, approved by the Clerk of Court.</w:t>
      </w:r>
      <w:r w:rsidR="002E256B">
        <w:rPr>
          <w:rStyle w:val="FootnoteReference"/>
        </w:rPr>
        <w:footnoteReference w:id="20"/>
      </w:r>
      <w:r w:rsidR="00AD7198">
        <w:t xml:space="preserve"> </w:t>
      </w:r>
    </w:p>
    <w:p w14:paraId="2FED4C38" w14:textId="32121629" w:rsidR="00B26E9C" w:rsidRDefault="00B26E9C" w:rsidP="00723461"/>
    <w:p w14:paraId="0A4E4C23" w14:textId="0B4433E8" w:rsidR="00026AFF" w:rsidRPr="008C7CAE" w:rsidRDefault="003A3928" w:rsidP="00026AFF">
      <w:pPr>
        <w:pStyle w:val="ListParagraph"/>
        <w:numPr>
          <w:ilvl w:val="0"/>
          <w:numId w:val="1"/>
        </w:numPr>
        <w:rPr>
          <w:b/>
          <w:bCs/>
        </w:rPr>
      </w:pPr>
      <w:r>
        <w:rPr>
          <w:b/>
          <w:bCs/>
        </w:rPr>
        <w:t>Entities</w:t>
      </w:r>
      <w:r w:rsidR="00F45613">
        <w:rPr>
          <w:b/>
          <w:bCs/>
        </w:rPr>
        <w:t xml:space="preserve"> </w:t>
      </w:r>
      <w:r w:rsidR="00026AFF">
        <w:rPr>
          <w:b/>
          <w:bCs/>
        </w:rPr>
        <w:t>R</w:t>
      </w:r>
      <w:r w:rsidR="00723461" w:rsidRPr="001D2434">
        <w:rPr>
          <w:b/>
          <w:bCs/>
        </w:rPr>
        <w:t xml:space="preserve">ecognize Tribal </w:t>
      </w:r>
      <w:r w:rsidR="008C7CAE">
        <w:rPr>
          <w:b/>
          <w:bCs/>
        </w:rPr>
        <w:t>Authority to Govern Admissions to Practice Law</w:t>
      </w:r>
    </w:p>
    <w:p w14:paraId="050FCE0D" w14:textId="735B5753" w:rsidR="00A72511" w:rsidRDefault="00701A73" w:rsidP="00DE7956">
      <w:pPr>
        <w:ind w:firstLine="360"/>
      </w:pPr>
      <w:r>
        <w:t>Other states recognize a</w:t>
      </w:r>
      <w:r w:rsidR="00CE0676">
        <w:t xml:space="preserve">n attorney authorized by a Tribe to practice law as qualified to apply for </w:t>
      </w:r>
      <w:r w:rsidR="007C3BFB">
        <w:t xml:space="preserve">special status under state </w:t>
      </w:r>
      <w:r w:rsidR="00E2390B">
        <w:t xml:space="preserve">bar </w:t>
      </w:r>
      <w:r w:rsidR="00686601">
        <w:t>s</w:t>
      </w:r>
      <w:r w:rsidR="007C3BFB">
        <w:t xml:space="preserve">upreme </w:t>
      </w:r>
      <w:r w:rsidR="00686601">
        <w:t>c</w:t>
      </w:r>
      <w:r w:rsidR="007C3BFB">
        <w:t xml:space="preserve">ourt regulations. For instance, </w:t>
      </w:r>
      <w:r w:rsidR="00686601">
        <w:t xml:space="preserve">the </w:t>
      </w:r>
      <w:r w:rsidR="007C3BFB">
        <w:t xml:space="preserve">Wisconsin Supreme Court </w:t>
      </w:r>
      <w:r w:rsidR="00E2390B">
        <w:t>amended</w:t>
      </w:r>
      <w:r w:rsidR="007C3BFB">
        <w:t xml:space="preserve"> its reciprocity rules in </w:t>
      </w:r>
      <w:r w:rsidR="00DE7956">
        <w:t>2017</w:t>
      </w:r>
      <w:r w:rsidR="007C3BFB">
        <w:t xml:space="preserve"> to allow attorneys with out-of-state licenses in good standing and </w:t>
      </w:r>
      <w:r w:rsidR="007C3BFB">
        <w:lastRenderedPageBreak/>
        <w:t xml:space="preserve">who have practiced exclusively for a federally recognized Indian Tribe to be waived from taking the Wisconsin bar exam </w:t>
      </w:r>
      <w:r w:rsidR="00A20C6C">
        <w:t xml:space="preserve">prior to being granted authorization to </w:t>
      </w:r>
      <w:r w:rsidR="007C3BFB">
        <w:t xml:space="preserve">practice </w:t>
      </w:r>
      <w:r w:rsidR="00A20C6C">
        <w:t xml:space="preserve">law </w:t>
      </w:r>
      <w:r w:rsidR="007C3BFB">
        <w:t>in Wisconsin.</w:t>
      </w:r>
      <w:r w:rsidR="007C3BFB">
        <w:rPr>
          <w:rStyle w:val="FootnoteReference"/>
        </w:rPr>
        <w:footnoteReference w:id="21"/>
      </w:r>
      <w:r w:rsidR="007C3BFB">
        <w:t xml:space="preserve"> Additionally, Color</w:t>
      </w:r>
      <w:r w:rsidR="005F1FB5">
        <w:t>ado recognizes that an attorney authorized to practice law through a license granted by Tribal law may be qualified to practice in Colorado.</w:t>
      </w:r>
      <w:r w:rsidR="005F1FB5">
        <w:rPr>
          <w:rStyle w:val="FootnoteReference"/>
        </w:rPr>
        <w:footnoteReference w:id="22"/>
      </w:r>
    </w:p>
    <w:p w14:paraId="036C3E23" w14:textId="084F7030" w:rsidR="00C70934" w:rsidRDefault="002B59E9" w:rsidP="002C786F">
      <w:pPr>
        <w:ind w:firstLine="360"/>
      </w:pPr>
      <w:r>
        <w:t>Certain f</w:t>
      </w:r>
      <w:r w:rsidR="003E3543">
        <w:t xml:space="preserve">ederal statues </w:t>
      </w:r>
      <w:r w:rsidR="00343021">
        <w:t>consider a qualified attorney to be an attorney “licensed to practice law by any jurisdiction in the United States that applies appropriate professional licensing standards and effectively ensures the competence and professional responsibility of its licensed attorneys.”</w:t>
      </w:r>
      <w:r w:rsidR="00C90688">
        <w:rPr>
          <w:rStyle w:val="FootnoteReference"/>
        </w:rPr>
        <w:footnoteReference w:id="23"/>
      </w:r>
    </w:p>
    <w:p w14:paraId="052F5DA9" w14:textId="133F6E04" w:rsidR="003E3543" w:rsidRDefault="001E5C3E" w:rsidP="002C786F">
      <w:pPr>
        <w:ind w:firstLine="360"/>
      </w:pPr>
      <w:r>
        <w:t xml:space="preserve">Additionally, the American Bar Association </w:t>
      </w:r>
      <w:r w:rsidR="0084640B">
        <w:t xml:space="preserve">Constitution </w:t>
      </w:r>
      <w:r w:rsidR="00E35B57">
        <w:t>specifies that a person in good standing with “…a tribal court of any federally recognized tribe of the United States is eligible to be a member of the Association.”</w:t>
      </w:r>
      <w:r w:rsidR="00E35B57">
        <w:rPr>
          <w:rStyle w:val="FootnoteReference"/>
        </w:rPr>
        <w:footnoteReference w:id="24"/>
      </w:r>
      <w:r w:rsidR="000D64D7">
        <w:t xml:space="preserve"> Further, ABA </w:t>
      </w:r>
      <w:r w:rsidR="00F94B36">
        <w:t xml:space="preserve">House of Delegates </w:t>
      </w:r>
      <w:r w:rsidR="000D64D7">
        <w:t xml:space="preserve">resolutions </w:t>
      </w:r>
      <w:r w:rsidR="004012C4">
        <w:t>that urge</w:t>
      </w:r>
      <w:r w:rsidR="00F94B36">
        <w:t xml:space="preserve"> state legislatures to take</w:t>
      </w:r>
      <w:r w:rsidR="004012C4">
        <w:t xml:space="preserve"> judicial action are, as indicated by the ABA Constitution, understood to also include tribes in those entities.</w:t>
      </w:r>
      <w:r w:rsidR="004012C4">
        <w:rPr>
          <w:rStyle w:val="FootnoteReference"/>
        </w:rPr>
        <w:footnoteReference w:id="25"/>
      </w:r>
    </w:p>
    <w:p w14:paraId="3636634F" w14:textId="5F8C93FB" w:rsidR="00C836F9" w:rsidRDefault="00C836F9" w:rsidP="002C786F">
      <w:pPr>
        <w:ind w:firstLine="360"/>
      </w:pPr>
    </w:p>
    <w:p w14:paraId="1DD60922" w14:textId="140B1756" w:rsidR="00C836F9" w:rsidRPr="008C7CAE" w:rsidRDefault="00C836F9" w:rsidP="00C836F9">
      <w:pPr>
        <w:pStyle w:val="ListParagraph"/>
        <w:numPr>
          <w:ilvl w:val="0"/>
          <w:numId w:val="1"/>
        </w:numPr>
        <w:rPr>
          <w:b/>
          <w:bCs/>
        </w:rPr>
      </w:pPr>
      <w:r>
        <w:rPr>
          <w:b/>
          <w:bCs/>
        </w:rPr>
        <w:t>Florida</w:t>
      </w:r>
      <w:r w:rsidR="00737D9D">
        <w:rPr>
          <w:b/>
          <w:bCs/>
        </w:rPr>
        <w:t xml:space="preserve"> should</w:t>
      </w:r>
      <w:r>
        <w:rPr>
          <w:b/>
          <w:bCs/>
        </w:rPr>
        <w:t xml:space="preserve"> recognize Tribes</w:t>
      </w:r>
      <w:r w:rsidR="00E2390B">
        <w:rPr>
          <w:b/>
          <w:bCs/>
        </w:rPr>
        <w:t>’</w:t>
      </w:r>
      <w:r>
        <w:rPr>
          <w:b/>
          <w:bCs/>
        </w:rPr>
        <w:t xml:space="preserve"> and Tribal Courts</w:t>
      </w:r>
      <w:r w:rsidR="00E2390B">
        <w:rPr>
          <w:b/>
          <w:bCs/>
        </w:rPr>
        <w:t>’</w:t>
      </w:r>
      <w:r>
        <w:rPr>
          <w:b/>
          <w:bCs/>
        </w:rPr>
        <w:t xml:space="preserve"> rules and orders for purposes of Chapter 17 of the Rules Regulating the Florida Bar as a matter of </w:t>
      </w:r>
      <w:r w:rsidR="00E2390B">
        <w:rPr>
          <w:b/>
          <w:bCs/>
        </w:rPr>
        <w:t>c</w:t>
      </w:r>
      <w:r>
        <w:rPr>
          <w:b/>
          <w:bCs/>
        </w:rPr>
        <w:t>omity</w:t>
      </w:r>
      <w:r w:rsidR="00E2390B">
        <w:rPr>
          <w:b/>
          <w:bCs/>
        </w:rPr>
        <w:t>.</w:t>
      </w:r>
    </w:p>
    <w:p w14:paraId="53357691" w14:textId="0BA6236C" w:rsidR="00BB416C" w:rsidRDefault="00C836F9" w:rsidP="00BB416C">
      <w:pPr>
        <w:ind w:firstLine="360"/>
      </w:pPr>
      <w:r>
        <w:t xml:space="preserve">As a </w:t>
      </w:r>
      <w:r w:rsidRPr="00D168B6">
        <w:t xml:space="preserve">matter of comity, </w:t>
      </w:r>
      <w:r w:rsidR="00B83005">
        <w:t xml:space="preserve">for purposes of “jurisdiction other than Florida” </w:t>
      </w:r>
      <w:r w:rsidR="008C709C">
        <w:t xml:space="preserve">in Chapter 17, Florida should recognize attorneys licensed to practice by a Tribe in Tribal Court. </w:t>
      </w:r>
      <w:r w:rsidR="00BB416C">
        <w:t>In s</w:t>
      </w:r>
      <w:r w:rsidR="00E2390B">
        <w:t>everal</w:t>
      </w:r>
      <w:r w:rsidR="00BB416C">
        <w:t xml:space="preserve"> areas of law, “</w:t>
      </w:r>
      <w:r w:rsidR="00BB416C" w:rsidRPr="00D168B6">
        <w:t>the judgments of tribal courts must be given the same full faith and credit as state and federal courts give each other. The Violence Against Women Act and the Indian Child Welfare Act, for example, require state and tribal courts to give full faith and credit to each other’s judgments and orders for purpose of enforcing those Acts.”</w:t>
      </w:r>
      <w:r w:rsidR="00BB416C" w:rsidRPr="00D168B6">
        <w:rPr>
          <w:rStyle w:val="FootnoteReference"/>
        </w:rPr>
        <w:footnoteReference w:id="26"/>
      </w:r>
    </w:p>
    <w:p w14:paraId="370711A9" w14:textId="59ECEA02" w:rsidR="00CE0EBC" w:rsidRDefault="00BB416C" w:rsidP="005D500D">
      <w:pPr>
        <w:ind w:firstLine="360"/>
      </w:pPr>
      <w:r>
        <w:t>Additionally, s</w:t>
      </w:r>
      <w:r w:rsidR="00CE0EBC">
        <w:t xml:space="preserve">tates and Tribes often recognize and respect the judgments promulgated by the other entity’s courts, </w:t>
      </w:r>
      <w:r w:rsidR="00047BEF">
        <w:t xml:space="preserve">particularly </w:t>
      </w:r>
      <w:proofErr w:type="gramStart"/>
      <w:r w:rsidR="00047BEF">
        <w:t>through the use of</w:t>
      </w:r>
      <w:proofErr w:type="gramEnd"/>
      <w:r w:rsidR="00047BEF">
        <w:t xml:space="preserve"> cooperative agreements.</w:t>
      </w:r>
      <w:r w:rsidR="00B014DF">
        <w:t xml:space="preserve"> In such instances, the judgements and opinions of the other courts are treated with the comity that would be given to judgments from foreign courts. </w:t>
      </w:r>
      <w:r w:rsidR="00047BEF" w:rsidRPr="00D168B6">
        <w:rPr>
          <w:rStyle w:val="FootnoteReference"/>
        </w:rPr>
        <w:footnoteReference w:id="27"/>
      </w:r>
    </w:p>
    <w:p w14:paraId="0C5B5F9B" w14:textId="2A075AF2" w:rsidR="005C4639" w:rsidRDefault="00C664F5" w:rsidP="00BB416C">
      <w:pPr>
        <w:ind w:firstLine="360"/>
      </w:pPr>
      <w:r w:rsidRPr="00D168B6">
        <w:lastRenderedPageBreak/>
        <w:t xml:space="preserve">The Florida Supreme Court amended </w:t>
      </w:r>
      <w:r w:rsidR="007C1962" w:rsidRPr="00D168B6">
        <w:t xml:space="preserve">Florida’s Authorized House Counsel Rule in 2017 to allow </w:t>
      </w:r>
      <w:r w:rsidR="007F02FB" w:rsidRPr="00D168B6">
        <w:t>a lawyer authorized in a foreign jurisdiction to serve as authorized in-house counsel in Florida.</w:t>
      </w:r>
      <w:r w:rsidR="003E505E" w:rsidRPr="00D168B6">
        <w:rPr>
          <w:rStyle w:val="FootnoteReference"/>
        </w:rPr>
        <w:footnoteReference w:id="28"/>
      </w:r>
      <w:r w:rsidR="007F02FB" w:rsidRPr="00D168B6">
        <w:t xml:space="preserve"> Even if Florida declines to </w:t>
      </w:r>
      <w:r w:rsidR="00AE0261" w:rsidRPr="00D168B6">
        <w:t>recognize a Tribe and Tribal Court’s rules and orders regarding</w:t>
      </w:r>
      <w:r w:rsidR="004E6686">
        <w:t xml:space="preserve"> attorney</w:t>
      </w:r>
      <w:r w:rsidR="00AE0261" w:rsidRPr="00D168B6">
        <w:t xml:space="preserve"> licensing as an “United States jurisdiction other than Florida,” a Tribe </w:t>
      </w:r>
      <w:r w:rsidR="004E6686">
        <w:t>should</w:t>
      </w:r>
      <w:r w:rsidR="00AE0261" w:rsidRPr="00D168B6">
        <w:t xml:space="preserve">, at the very least, be recognized by Florida as a “foreign jurisdiction” for purposes of Chapter 17 of the Rules Regulating </w:t>
      </w:r>
      <w:r w:rsidR="00624B95" w:rsidRPr="00D168B6">
        <w:t xml:space="preserve">the Florida Bar. </w:t>
      </w:r>
    </w:p>
    <w:p w14:paraId="6DED73AA" w14:textId="77777777" w:rsidR="00BB416C" w:rsidRDefault="00BB416C" w:rsidP="00BB416C">
      <w:pPr>
        <w:ind w:firstLine="360"/>
      </w:pPr>
    </w:p>
    <w:p w14:paraId="001E934C" w14:textId="014569B9" w:rsidR="007A51E1" w:rsidRDefault="007A51E1" w:rsidP="007B5051">
      <w:pPr>
        <w:pStyle w:val="ListParagraph"/>
        <w:numPr>
          <w:ilvl w:val="0"/>
          <w:numId w:val="1"/>
        </w:numPr>
        <w:rPr>
          <w:b/>
          <w:bCs/>
        </w:rPr>
      </w:pPr>
      <w:r w:rsidRPr="001D2434">
        <w:rPr>
          <w:b/>
          <w:bCs/>
        </w:rPr>
        <w:t xml:space="preserve">Mr. Stamates </w:t>
      </w:r>
      <w:r w:rsidR="00F94520">
        <w:rPr>
          <w:b/>
          <w:bCs/>
        </w:rPr>
        <w:t xml:space="preserve">is a proper candidate for </w:t>
      </w:r>
      <w:r w:rsidR="00BB416C">
        <w:rPr>
          <w:b/>
          <w:bCs/>
        </w:rPr>
        <w:t xml:space="preserve">Rules Regulated the Florida Bar Chapter 17 </w:t>
      </w:r>
      <w:r w:rsidR="00F94520">
        <w:rPr>
          <w:b/>
          <w:bCs/>
        </w:rPr>
        <w:t>House Counsel Status</w:t>
      </w:r>
    </w:p>
    <w:p w14:paraId="0384A312" w14:textId="54F11133" w:rsidR="004657EF" w:rsidRDefault="004E66CB" w:rsidP="00A567BF">
      <w:r>
        <w:tab/>
      </w:r>
      <w:r w:rsidR="00112AA7">
        <w:t xml:space="preserve">Mr. Stamates meets the requirements of </w:t>
      </w:r>
      <w:r w:rsidR="00BB416C">
        <w:t>Chapter</w:t>
      </w:r>
      <w:r w:rsidR="00112AA7">
        <w:t xml:space="preserve"> 17 of the Rules Regulating the Florida Bar. As </w:t>
      </w:r>
      <w:r w:rsidR="000C750D">
        <w:t>elaborated above, Mr. Stamates is certified to practice law in a “United States jurisdiction other than Florida,”</w:t>
      </w:r>
      <w:r w:rsidR="00216D94">
        <w:t xml:space="preserve"> </w:t>
      </w:r>
      <w:r w:rsidR="002F0176">
        <w:t>is</w:t>
      </w:r>
      <w:r w:rsidR="00216D94">
        <w:t xml:space="preserve"> in good standing,</w:t>
      </w:r>
      <w:r w:rsidR="000C750D">
        <w:t xml:space="preserve"> resides in Florida, and is employed by a business organization in Florida. </w:t>
      </w:r>
    </w:p>
    <w:p w14:paraId="54B8A823" w14:textId="10B26103" w:rsidR="00E2390B" w:rsidRDefault="004657EF" w:rsidP="00910CA2">
      <w:pPr>
        <w:ind w:firstLine="720"/>
      </w:pPr>
      <w:r w:rsidRPr="00510247">
        <w:t xml:space="preserve">Mr. Stamates graduated from an ABA-accredited law school </w:t>
      </w:r>
      <w:r w:rsidR="00D83BFF" w:rsidRPr="00510247">
        <w:t xml:space="preserve">and is licensed to practice law in a </w:t>
      </w:r>
      <w:r w:rsidR="00DA4D14" w:rsidRPr="00510247">
        <w:t xml:space="preserve">jurisdiction </w:t>
      </w:r>
      <w:r w:rsidR="00024854" w:rsidRPr="00510247">
        <w:t xml:space="preserve">that applies professional licensing standards and effectively ensures the competence and professional </w:t>
      </w:r>
      <w:r w:rsidR="007864B3" w:rsidRPr="00510247">
        <w:t>responsibility</w:t>
      </w:r>
      <w:r w:rsidR="00024854" w:rsidRPr="00510247">
        <w:t xml:space="preserve"> of its licensed attorneys. Florida should accept this </w:t>
      </w:r>
      <w:r w:rsidR="00FE507E" w:rsidRPr="00510247">
        <w:t>definition</w:t>
      </w:r>
      <w:r w:rsidR="00E2390B">
        <w:t xml:space="preserve">, finding that Mr. Stamates is certified to practice law in a </w:t>
      </w:r>
      <w:r w:rsidR="00EE52C0">
        <w:t>“jurisdiction other than Florida.” Following such definition would mirror the definition used by the U.S. Congress in the Tribal Law and Order Act.</w:t>
      </w:r>
      <w:r w:rsidR="00EE52C0">
        <w:rPr>
          <w:rStyle w:val="FootnoteReference"/>
        </w:rPr>
        <w:footnoteReference w:id="29"/>
      </w:r>
    </w:p>
    <w:p w14:paraId="35E2E77D" w14:textId="6707CCB0" w:rsidR="00112AA7" w:rsidRDefault="00112AA7" w:rsidP="00112AA7">
      <w:pPr>
        <w:ind w:firstLine="720"/>
      </w:pPr>
      <w:r>
        <w:t>Further, e</w:t>
      </w:r>
      <w:r w:rsidR="004E66CB">
        <w:t xml:space="preserve">ven with Authorized House Counsel Status, Mr. Stamates’ </w:t>
      </w:r>
      <w:r w:rsidR="00B753F1">
        <w:t xml:space="preserve">authorized activities will be limited pursuant to the constraints of Chapter 17. For example, Mr. Stamates </w:t>
      </w:r>
      <w:r w:rsidR="00487F5A">
        <w:t xml:space="preserve">activities will be </w:t>
      </w:r>
      <w:r w:rsidR="00EE52C0">
        <w:t>restricted</w:t>
      </w:r>
      <w:r w:rsidR="00487F5A">
        <w:t xml:space="preserve"> to giving legal advice to certain individuals within the business organization, negotiation and documenting matters for the business organization, representing the business in dealings with </w:t>
      </w:r>
      <w:r w:rsidR="003F1CA9">
        <w:t>administrative agencies or commissions, and providing pro bono legal services.</w:t>
      </w:r>
      <w:r w:rsidR="003F1CA9">
        <w:rPr>
          <w:rStyle w:val="FootnoteReference"/>
        </w:rPr>
        <w:footnoteReference w:id="30"/>
      </w:r>
      <w:r w:rsidR="003F1CA9">
        <w:t xml:space="preserve"> </w:t>
      </w:r>
      <w:r w:rsidR="002F0176">
        <w:t>Authorizing</w:t>
      </w:r>
      <w:r w:rsidR="003F1CA9">
        <w:t xml:space="preserve"> Mr. Stamates with House Counsel Status does not give Mr. Stamates the </w:t>
      </w:r>
      <w:r w:rsidR="005C368B">
        <w:t xml:space="preserve">authority to freely practice a wide range of law within Florida, and still constrains and restricts his practice. The Florida Bar need not worry about Mr. Stamates proceeding unauthorized. Not only will Mr. Stamates </w:t>
      </w:r>
      <w:r w:rsidR="002F0176">
        <w:t xml:space="preserve">continue to </w:t>
      </w:r>
      <w:r w:rsidR="005C368B">
        <w:t xml:space="preserve">be required to submit to the obligations and rules of the St. Croix Tribe, </w:t>
      </w:r>
      <w:proofErr w:type="gramStart"/>
      <w:r w:rsidR="005C368B">
        <w:t>he will</w:t>
      </w:r>
      <w:proofErr w:type="gramEnd"/>
      <w:r w:rsidR="005C368B">
        <w:t xml:space="preserve"> further be </w:t>
      </w:r>
      <w:r w:rsidR="002F0176">
        <w:t>subject to Florida Bar regulations.</w:t>
      </w:r>
      <w:r w:rsidR="00EE52C0">
        <w:t xml:space="preserve"> </w:t>
      </w:r>
    </w:p>
    <w:p w14:paraId="593D7F20" w14:textId="2FB225AF" w:rsidR="005615ED" w:rsidRPr="004C7697" w:rsidRDefault="00112AA7" w:rsidP="004C7697">
      <w:pPr>
        <w:ind w:firstLine="720"/>
      </w:pPr>
      <w:r>
        <w:t>Chapter 17 of the Rules Regulating the Florida Bar requires the Florida Bar to “submit the name and address of all registrants meeting the requirements of this rule to the clerk of the Supreme Court of Florida with a request that the registration be certified as authorized house counsel.”</w:t>
      </w:r>
      <w:r>
        <w:rPr>
          <w:rStyle w:val="FootnoteReference"/>
        </w:rPr>
        <w:footnoteReference w:id="31"/>
      </w:r>
      <w:r>
        <w:t xml:space="preserve"> As Mr. Stamates meets the requirements of </w:t>
      </w:r>
      <w:r w:rsidR="00EE52C0">
        <w:t>Chapter</w:t>
      </w:r>
      <w:r>
        <w:t xml:space="preserve"> 17, Mr. Stamates respectfully requests the Florida Bar submit his information to the Supreme Court of </w:t>
      </w:r>
      <w:r w:rsidR="002F0176">
        <w:t xml:space="preserve">Florida </w:t>
      </w:r>
      <w:r>
        <w:t xml:space="preserve">for certification as authorized </w:t>
      </w:r>
      <w:r w:rsidR="00EE52C0">
        <w:t xml:space="preserve">house </w:t>
      </w:r>
      <w:r>
        <w:t xml:space="preserve">counsel. </w:t>
      </w:r>
    </w:p>
    <w:sectPr w:rsidR="005615ED" w:rsidRPr="004C769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C361EE" w14:textId="77777777" w:rsidR="00F24174" w:rsidRDefault="00F24174" w:rsidP="00CD3662">
      <w:pPr>
        <w:spacing w:after="0" w:line="240" w:lineRule="auto"/>
      </w:pPr>
      <w:r>
        <w:separator/>
      </w:r>
    </w:p>
  </w:endnote>
  <w:endnote w:type="continuationSeparator" w:id="0">
    <w:p w14:paraId="34FD6320" w14:textId="77777777" w:rsidR="00F24174" w:rsidRDefault="00F24174" w:rsidP="00CD36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76082435"/>
      <w:docPartObj>
        <w:docPartGallery w:val="Page Numbers (Bottom of Page)"/>
        <w:docPartUnique/>
      </w:docPartObj>
    </w:sdtPr>
    <w:sdtEndPr>
      <w:rPr>
        <w:noProof/>
      </w:rPr>
    </w:sdtEndPr>
    <w:sdtContent>
      <w:p w14:paraId="26E39D86" w14:textId="7E0FC402" w:rsidR="009B398A" w:rsidRDefault="009B398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A075716" w14:textId="77777777" w:rsidR="009B398A" w:rsidRDefault="009B39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393C70" w14:textId="77777777" w:rsidR="00F24174" w:rsidRDefault="00F24174" w:rsidP="00CD3662">
      <w:pPr>
        <w:spacing w:after="0" w:line="240" w:lineRule="auto"/>
      </w:pPr>
      <w:r>
        <w:separator/>
      </w:r>
    </w:p>
  </w:footnote>
  <w:footnote w:type="continuationSeparator" w:id="0">
    <w:p w14:paraId="746094E0" w14:textId="77777777" w:rsidR="00F24174" w:rsidRDefault="00F24174" w:rsidP="00CD3662">
      <w:pPr>
        <w:spacing w:after="0" w:line="240" w:lineRule="auto"/>
      </w:pPr>
      <w:r>
        <w:continuationSeparator/>
      </w:r>
    </w:p>
  </w:footnote>
  <w:footnote w:id="1">
    <w:p w14:paraId="27584130" w14:textId="60BEBDDE" w:rsidR="00CD3662" w:rsidRPr="00D8728A" w:rsidRDefault="00CD3662">
      <w:pPr>
        <w:pStyle w:val="FootnoteText"/>
      </w:pPr>
      <w:r w:rsidRPr="00D8728A">
        <w:rPr>
          <w:rStyle w:val="FootnoteReference"/>
        </w:rPr>
        <w:footnoteRef/>
      </w:r>
      <w:r w:rsidRPr="00D8728A">
        <w:t xml:space="preserve"> </w:t>
      </w:r>
      <w:r w:rsidRPr="00D8728A">
        <w:rPr>
          <w:i/>
          <w:iCs/>
        </w:rPr>
        <w:t xml:space="preserve">See </w:t>
      </w:r>
      <w:r w:rsidR="00855865" w:rsidRPr="00D8728A">
        <w:t>R. Regulating Fla. Bar,</w:t>
      </w:r>
      <w:r w:rsidR="0055225E" w:rsidRPr="00D8728A">
        <w:t xml:space="preserve"> </w:t>
      </w:r>
      <w:r w:rsidR="00C935BA" w:rsidRPr="00D8728A">
        <w:t>Ch</w:t>
      </w:r>
      <w:r w:rsidR="006C2E97" w:rsidRPr="00D8728A">
        <w:t>.</w:t>
      </w:r>
      <w:r w:rsidR="00C935BA" w:rsidRPr="00D8728A">
        <w:t xml:space="preserve"> 17-1.2(a)(1)-(4).</w:t>
      </w:r>
    </w:p>
  </w:footnote>
  <w:footnote w:id="2">
    <w:p w14:paraId="7D655F0E" w14:textId="3366E5AA" w:rsidR="002F2546" w:rsidRPr="00D8728A" w:rsidRDefault="002F2546" w:rsidP="002F2546">
      <w:pPr>
        <w:pStyle w:val="FootnoteText"/>
        <w:rPr>
          <w:highlight w:val="yellow"/>
        </w:rPr>
      </w:pPr>
      <w:r w:rsidRPr="00D8728A">
        <w:rPr>
          <w:rStyle w:val="FootnoteReference"/>
        </w:rPr>
        <w:footnoteRef/>
      </w:r>
      <w:r w:rsidRPr="00D8728A">
        <w:t xml:space="preserve"> </w:t>
      </w:r>
      <w:r w:rsidRPr="00D8728A">
        <w:rPr>
          <w:i/>
          <w:iCs/>
        </w:rPr>
        <w:t xml:space="preserve">See </w:t>
      </w:r>
      <w:r w:rsidR="00406371" w:rsidRPr="00D8728A">
        <w:rPr>
          <w:smallCaps/>
        </w:rPr>
        <w:t xml:space="preserve">St. Croix Chippewa Indians of Wisconsin, </w:t>
      </w:r>
      <w:r w:rsidR="003143DF" w:rsidRPr="00D8728A">
        <w:rPr>
          <w:smallCaps/>
        </w:rPr>
        <w:t>Tribal Ct. Code</w:t>
      </w:r>
      <w:r w:rsidR="003143DF" w:rsidRPr="00D8728A">
        <w:t xml:space="preserve"> </w:t>
      </w:r>
      <w:r w:rsidR="003143DF" w:rsidRPr="00D8728A">
        <w:rPr>
          <w:rFonts w:cstheme="minorHAnsi"/>
        </w:rPr>
        <w:t>§ 303</w:t>
      </w:r>
      <w:r w:rsidR="00A25090" w:rsidRPr="00D8728A">
        <w:rPr>
          <w:rFonts w:cstheme="minorHAnsi"/>
        </w:rPr>
        <w:t xml:space="preserve"> (1997)</w:t>
      </w:r>
      <w:r w:rsidR="00D8728A" w:rsidRPr="00D8728A">
        <w:rPr>
          <w:rFonts w:cstheme="minorHAnsi"/>
        </w:rPr>
        <w:t>.</w:t>
      </w:r>
    </w:p>
  </w:footnote>
  <w:footnote w:id="3">
    <w:p w14:paraId="7229A6DC" w14:textId="200B1FC9" w:rsidR="009B398A" w:rsidRPr="009C120E" w:rsidRDefault="009B398A">
      <w:pPr>
        <w:pStyle w:val="FootnoteText"/>
        <w:rPr>
          <w:i/>
          <w:iCs/>
        </w:rPr>
      </w:pPr>
      <w:r>
        <w:rPr>
          <w:rStyle w:val="FootnoteReference"/>
        </w:rPr>
        <w:footnoteRef/>
      </w:r>
      <w:r>
        <w:t xml:space="preserve"> </w:t>
      </w:r>
      <w:r w:rsidR="00D8728A">
        <w:rPr>
          <w:i/>
          <w:iCs/>
        </w:rPr>
        <w:t xml:space="preserve">See </w:t>
      </w:r>
      <w:r w:rsidR="009C120E">
        <w:rPr>
          <w:i/>
          <w:iCs/>
        </w:rPr>
        <w:t>id.</w:t>
      </w:r>
    </w:p>
  </w:footnote>
  <w:footnote w:id="4">
    <w:p w14:paraId="0E658D6C" w14:textId="77777777" w:rsidR="00077556" w:rsidRPr="00CB4E61" w:rsidRDefault="00077556" w:rsidP="00CB4E61">
      <w:pPr>
        <w:pStyle w:val="FootnoteText"/>
        <w:contextualSpacing/>
        <w:rPr>
          <w:i/>
          <w:iCs/>
        </w:rPr>
      </w:pPr>
      <w:r w:rsidRPr="00CB4E61">
        <w:rPr>
          <w:rStyle w:val="FootnoteReference"/>
        </w:rPr>
        <w:footnoteRef/>
      </w:r>
      <w:r w:rsidRPr="00CB4E61">
        <w:t xml:space="preserve"> </w:t>
      </w:r>
      <w:r w:rsidRPr="00CB4E61">
        <w:rPr>
          <w:i/>
          <w:iCs/>
        </w:rPr>
        <w:t>Worcester v. State of Georgia</w:t>
      </w:r>
      <w:r w:rsidRPr="00CB4E61">
        <w:t>, 31 U.S. 515, 519 (1832).</w:t>
      </w:r>
    </w:p>
  </w:footnote>
  <w:footnote w:id="5">
    <w:p w14:paraId="089656F8" w14:textId="731181B8" w:rsidR="00E17F93" w:rsidRDefault="00E17F93">
      <w:pPr>
        <w:pStyle w:val="FootnoteText"/>
      </w:pPr>
      <w:r>
        <w:rPr>
          <w:rStyle w:val="FootnoteReference"/>
        </w:rPr>
        <w:footnoteRef/>
      </w:r>
      <w:r>
        <w:t xml:space="preserve"> Cherokee Nation v. Georgia, </w:t>
      </w:r>
      <w:r w:rsidRPr="00A30AC5">
        <w:rPr>
          <w:rFonts w:cstheme="minorHAnsi"/>
        </w:rPr>
        <w:t>30 U.S. 1 (1831).</w:t>
      </w:r>
    </w:p>
  </w:footnote>
  <w:footnote w:id="6">
    <w:p w14:paraId="59A06826" w14:textId="37F3981C" w:rsidR="0084499C" w:rsidRPr="00965AA8" w:rsidRDefault="00EC059E" w:rsidP="00EC059E">
      <w:pPr>
        <w:spacing w:after="0" w:line="240" w:lineRule="auto"/>
        <w:rPr>
          <w:sz w:val="20"/>
          <w:szCs w:val="20"/>
        </w:rPr>
      </w:pPr>
      <w:r w:rsidRPr="0084499C">
        <w:rPr>
          <w:sz w:val="20"/>
          <w:szCs w:val="20"/>
          <w:vertAlign w:val="superscript"/>
        </w:rPr>
        <w:footnoteRef/>
      </w:r>
      <w:r w:rsidRPr="0084499C">
        <w:rPr>
          <w:sz w:val="20"/>
          <w:szCs w:val="20"/>
        </w:rPr>
        <w:t xml:space="preserve"> </w:t>
      </w:r>
      <w:r w:rsidRPr="0084499C">
        <w:rPr>
          <w:i/>
          <w:iCs/>
          <w:sz w:val="20"/>
          <w:szCs w:val="20"/>
        </w:rPr>
        <w:t xml:space="preserve">See </w:t>
      </w:r>
      <w:r w:rsidRPr="0084499C">
        <w:rPr>
          <w:sz w:val="20"/>
          <w:szCs w:val="20"/>
        </w:rPr>
        <w:t xml:space="preserve">Elizabeth Ann </w:t>
      </w:r>
      <w:proofErr w:type="spellStart"/>
      <w:r w:rsidRPr="0084499C">
        <w:rPr>
          <w:sz w:val="20"/>
          <w:szCs w:val="20"/>
        </w:rPr>
        <w:t>Kronk</w:t>
      </w:r>
      <w:proofErr w:type="spellEnd"/>
      <w:r w:rsidRPr="0084499C">
        <w:rPr>
          <w:sz w:val="20"/>
          <w:szCs w:val="20"/>
        </w:rPr>
        <w:t xml:space="preserve"> Warner, </w:t>
      </w:r>
      <w:proofErr w:type="gramStart"/>
      <w:r w:rsidRPr="00C90688">
        <w:rPr>
          <w:sz w:val="20"/>
          <w:szCs w:val="20"/>
        </w:rPr>
        <w:t>Looking</w:t>
      </w:r>
      <w:proofErr w:type="gramEnd"/>
      <w:r w:rsidRPr="00C90688">
        <w:rPr>
          <w:sz w:val="20"/>
          <w:szCs w:val="20"/>
        </w:rPr>
        <w:t xml:space="preserve"> to the Third Sovereign: Tribal Environmental Ethics as an Alternative Paradigm, 33 Pace </w:t>
      </w:r>
      <w:proofErr w:type="spellStart"/>
      <w:r w:rsidRPr="00C90688">
        <w:rPr>
          <w:sz w:val="20"/>
          <w:szCs w:val="20"/>
        </w:rPr>
        <w:t>Envtl</w:t>
      </w:r>
      <w:proofErr w:type="spellEnd"/>
      <w:r w:rsidRPr="00C90688">
        <w:rPr>
          <w:sz w:val="20"/>
          <w:szCs w:val="20"/>
        </w:rPr>
        <w:t xml:space="preserve">. L. Rev. 397 (2016), https://digitalcommons.pace.edu/pelr/vol33/iss3/; </w:t>
      </w:r>
      <w:r w:rsidRPr="00C90688">
        <w:rPr>
          <w:i/>
          <w:iCs/>
          <w:sz w:val="20"/>
          <w:szCs w:val="20"/>
        </w:rPr>
        <w:t xml:space="preserve">and see </w:t>
      </w:r>
      <w:r w:rsidRPr="00C90688">
        <w:rPr>
          <w:sz w:val="20"/>
          <w:szCs w:val="20"/>
        </w:rPr>
        <w:t xml:space="preserve">Fletcher, Matthew L.M., "Sovereign Comity: Factors Recognizing Tribal Court Criminal Convictions in State and Federal Courts" (2009). Court Review: The </w:t>
      </w:r>
      <w:r w:rsidRPr="00965AA8">
        <w:rPr>
          <w:sz w:val="20"/>
          <w:szCs w:val="20"/>
        </w:rPr>
        <w:t>Journal of the American Judges Association</w:t>
      </w:r>
      <w:r w:rsidR="0084499C" w:rsidRPr="00965AA8">
        <w:rPr>
          <w:sz w:val="20"/>
          <w:szCs w:val="20"/>
        </w:rPr>
        <w:t xml:space="preserve"> (noting</w:t>
      </w:r>
      <w:r w:rsidRPr="00965AA8">
        <w:rPr>
          <w:sz w:val="20"/>
          <w:szCs w:val="20"/>
        </w:rPr>
        <w:t xml:space="preserve"> “There are three kinds of sovereigns in the United States – federal, state, and tribal.” (p 12) and “…Indian tribes, which are located within the boundaries of the United States, are part of the American constitutional structure…”</w:t>
      </w:r>
      <w:r w:rsidR="0084499C" w:rsidRPr="00965AA8">
        <w:rPr>
          <w:sz w:val="20"/>
          <w:szCs w:val="20"/>
        </w:rPr>
        <w:t>).</w:t>
      </w:r>
    </w:p>
  </w:footnote>
  <w:footnote w:id="7">
    <w:p w14:paraId="2832130E" w14:textId="5A1F7E09" w:rsidR="002F22ED" w:rsidRPr="00965AA8" w:rsidRDefault="002F22ED" w:rsidP="00B537F5">
      <w:pPr>
        <w:spacing w:after="0" w:line="240" w:lineRule="auto"/>
        <w:rPr>
          <w:sz w:val="20"/>
          <w:szCs w:val="20"/>
        </w:rPr>
      </w:pPr>
      <w:r w:rsidRPr="00965AA8">
        <w:rPr>
          <w:sz w:val="20"/>
          <w:szCs w:val="20"/>
          <w:vertAlign w:val="superscript"/>
        </w:rPr>
        <w:footnoteRef/>
      </w:r>
      <w:r w:rsidRPr="00965AA8">
        <w:rPr>
          <w:sz w:val="20"/>
          <w:szCs w:val="20"/>
        </w:rPr>
        <w:t xml:space="preserve"> </w:t>
      </w:r>
      <w:r w:rsidR="00C90688" w:rsidRPr="00965AA8">
        <w:rPr>
          <w:sz w:val="20"/>
          <w:szCs w:val="20"/>
        </w:rPr>
        <w:t>Sandra D. O'Connor, Lessons from the Third Sovereign: Indian Tribal Courts, 33 Tulsa L. J. 1 (2013).</w:t>
      </w:r>
    </w:p>
  </w:footnote>
  <w:footnote w:id="8">
    <w:p w14:paraId="200D20A4" w14:textId="7BADFD39" w:rsidR="00636EC1" w:rsidRPr="00965AA8" w:rsidRDefault="00636EC1" w:rsidP="00B537F5">
      <w:pPr>
        <w:spacing w:after="0" w:line="240" w:lineRule="auto"/>
        <w:jc w:val="both"/>
        <w:rPr>
          <w:sz w:val="20"/>
          <w:szCs w:val="20"/>
        </w:rPr>
      </w:pPr>
      <w:r w:rsidRPr="00965AA8">
        <w:rPr>
          <w:rStyle w:val="FootnoteReference"/>
          <w:sz w:val="20"/>
          <w:szCs w:val="20"/>
        </w:rPr>
        <w:footnoteRef/>
      </w:r>
      <w:r w:rsidRPr="00965AA8">
        <w:rPr>
          <w:sz w:val="20"/>
          <w:szCs w:val="20"/>
        </w:rPr>
        <w:t xml:space="preserve"> </w:t>
      </w:r>
      <w:r w:rsidR="006C2E97" w:rsidRPr="00965AA8">
        <w:rPr>
          <w:i/>
          <w:iCs/>
          <w:sz w:val="20"/>
          <w:szCs w:val="20"/>
        </w:rPr>
        <w:t>See Iowa Mut. Ins. Co. v. La Plante</w:t>
      </w:r>
      <w:r w:rsidR="006C2E97" w:rsidRPr="00965AA8">
        <w:rPr>
          <w:sz w:val="20"/>
          <w:szCs w:val="20"/>
        </w:rPr>
        <w:t>, 480 U.S. 9, 14-15 (1987)</w:t>
      </w:r>
      <w:r w:rsidR="00B537F5" w:rsidRPr="00965AA8">
        <w:rPr>
          <w:sz w:val="20"/>
          <w:szCs w:val="20"/>
        </w:rPr>
        <w:t>.</w:t>
      </w:r>
    </w:p>
  </w:footnote>
  <w:footnote w:id="9">
    <w:p w14:paraId="3791BB9A" w14:textId="16826F46" w:rsidR="00682EF0" w:rsidRPr="00965AA8" w:rsidRDefault="00682EF0" w:rsidP="00B537F5">
      <w:pPr>
        <w:pStyle w:val="FootnoteText"/>
      </w:pPr>
      <w:r w:rsidRPr="00965AA8">
        <w:rPr>
          <w:rStyle w:val="FootnoteReference"/>
        </w:rPr>
        <w:footnoteRef/>
      </w:r>
      <w:r w:rsidRPr="00965AA8">
        <w:t xml:space="preserve"> </w:t>
      </w:r>
      <w:r w:rsidR="00A936D0" w:rsidRPr="00965AA8">
        <w:rPr>
          <w:i/>
          <w:iCs/>
        </w:rPr>
        <w:t xml:space="preserve">See </w:t>
      </w:r>
      <w:r w:rsidR="00C50B23" w:rsidRPr="00965AA8">
        <w:rPr>
          <w:i/>
          <w:iCs/>
        </w:rPr>
        <w:t xml:space="preserve">id.; </w:t>
      </w:r>
      <w:r w:rsidR="009C6C64" w:rsidRPr="00965AA8">
        <w:rPr>
          <w:i/>
          <w:iCs/>
        </w:rPr>
        <w:t>and see National Farmers Union Ins. Co. v Crow Tribe</w:t>
      </w:r>
      <w:r w:rsidR="009C6C64" w:rsidRPr="00965AA8">
        <w:t>¸471 U.S. 845 (1985)</w:t>
      </w:r>
    </w:p>
  </w:footnote>
  <w:footnote w:id="10">
    <w:p w14:paraId="135CFDF4" w14:textId="2215789B" w:rsidR="002C786F" w:rsidRPr="00965AA8" w:rsidRDefault="002C786F">
      <w:pPr>
        <w:pStyle w:val="FootnoteText"/>
      </w:pPr>
      <w:r w:rsidRPr="00965AA8">
        <w:rPr>
          <w:rStyle w:val="FootnoteReference"/>
        </w:rPr>
        <w:footnoteRef/>
      </w:r>
      <w:r w:rsidRPr="00965AA8">
        <w:t xml:space="preserve"> </w:t>
      </w:r>
      <w:r w:rsidRPr="00965AA8">
        <w:rPr>
          <w:rFonts w:cstheme="minorHAnsi"/>
          <w:i/>
          <w:iCs/>
        </w:rPr>
        <w:t xml:space="preserve">See </w:t>
      </w:r>
      <w:r w:rsidRPr="00965AA8">
        <w:rPr>
          <w:rFonts w:eastAsia="Times New Roman" w:cstheme="minorHAnsi"/>
          <w:i/>
          <w:color w:val="111111"/>
        </w:rPr>
        <w:t>Teague v. Bad River Band</w:t>
      </w:r>
      <w:r w:rsidRPr="00965AA8">
        <w:rPr>
          <w:rFonts w:eastAsia="Times New Roman" w:cstheme="minorHAnsi"/>
          <w:iCs/>
          <w:color w:val="111111"/>
        </w:rPr>
        <w:t>, 236 Wis. 2d 384 (2000</w:t>
      </w:r>
      <w:r w:rsidRPr="00965AA8">
        <w:rPr>
          <w:rFonts w:eastAsia="Times New Roman" w:cstheme="minorHAnsi"/>
          <w:i/>
          <w:color w:val="111111"/>
        </w:rPr>
        <w:t>)</w:t>
      </w:r>
      <w:r w:rsidR="00C275C9" w:rsidRPr="00965AA8">
        <w:rPr>
          <w:rFonts w:cstheme="minorHAnsi"/>
          <w:i/>
          <w:iCs/>
        </w:rPr>
        <w:t xml:space="preserve"> </w:t>
      </w:r>
      <w:r w:rsidR="00C275C9" w:rsidRPr="00965AA8">
        <w:rPr>
          <w:rFonts w:cstheme="minorHAnsi"/>
        </w:rPr>
        <w:t>(noting</w:t>
      </w:r>
      <w:r w:rsidRPr="00965AA8">
        <w:rPr>
          <w:rFonts w:cstheme="minorHAnsi"/>
          <w:i/>
          <w:iCs/>
        </w:rPr>
        <w:t xml:space="preserve"> “</w:t>
      </w:r>
      <w:r w:rsidRPr="00965AA8">
        <w:rPr>
          <w:rFonts w:cstheme="minorHAnsi"/>
          <w:color w:val="2F2F2F"/>
          <w:spacing w:val="3"/>
          <w:shd w:val="clear" w:color="auto" w:fill="FFFFFF"/>
        </w:rPr>
        <w:t>Indian tribal court is a court of an independent sovereign”</w:t>
      </w:r>
      <w:r w:rsidR="00C275C9" w:rsidRPr="00965AA8">
        <w:rPr>
          <w:rFonts w:cstheme="minorHAnsi"/>
          <w:color w:val="2F2F2F"/>
          <w:spacing w:val="3"/>
          <w:shd w:val="clear" w:color="auto" w:fill="FFFFFF"/>
        </w:rPr>
        <w:t>).</w:t>
      </w:r>
    </w:p>
  </w:footnote>
  <w:footnote w:id="11">
    <w:p w14:paraId="50E0AD52" w14:textId="5E7D8276" w:rsidR="00D72EDC" w:rsidRPr="009C120E" w:rsidRDefault="00D72EDC">
      <w:pPr>
        <w:pStyle w:val="FootnoteText"/>
        <w:rPr>
          <w:highlight w:val="green"/>
        </w:rPr>
      </w:pPr>
      <w:r w:rsidRPr="00965AA8">
        <w:rPr>
          <w:rStyle w:val="FootnoteReference"/>
        </w:rPr>
        <w:footnoteRef/>
      </w:r>
      <w:r w:rsidRPr="00965AA8">
        <w:t xml:space="preserve"> </w:t>
      </w:r>
      <w:r w:rsidR="005B76C0" w:rsidRPr="00965AA8">
        <w:t xml:space="preserve">Am. B. </w:t>
      </w:r>
      <w:proofErr w:type="spellStart"/>
      <w:r w:rsidR="005B76C0" w:rsidRPr="00965AA8">
        <w:t>Ass’n</w:t>
      </w:r>
      <w:proofErr w:type="spellEnd"/>
      <w:r w:rsidR="005B76C0" w:rsidRPr="00965AA8">
        <w:t xml:space="preserve"> Recommendation</w:t>
      </w:r>
      <w:r w:rsidR="00965AA8" w:rsidRPr="00965AA8">
        <w:t>, I. (Aug. 2008), http://www.tribal-institute.org/WOCG/resolved.htm</w:t>
      </w:r>
      <w:r w:rsidRPr="00965AA8">
        <w:t xml:space="preserve"> </w:t>
      </w:r>
    </w:p>
  </w:footnote>
  <w:footnote w:id="12">
    <w:p w14:paraId="7A8AA973" w14:textId="6BACE095" w:rsidR="002C786F" w:rsidRPr="00C70934" w:rsidRDefault="002C786F" w:rsidP="002C786F">
      <w:pPr>
        <w:pStyle w:val="FootnoteText"/>
        <w:rPr>
          <w:rFonts w:cstheme="minorHAnsi"/>
        </w:rPr>
      </w:pPr>
      <w:r w:rsidRPr="00C70934">
        <w:rPr>
          <w:rStyle w:val="FootnoteReference"/>
          <w:rFonts w:cstheme="minorHAnsi"/>
        </w:rPr>
        <w:footnoteRef/>
      </w:r>
      <w:r w:rsidRPr="00C70934">
        <w:rPr>
          <w:rFonts w:cstheme="minorHAnsi"/>
        </w:rPr>
        <w:t xml:space="preserve"> </w:t>
      </w:r>
      <w:r w:rsidRPr="00C70934">
        <w:rPr>
          <w:rStyle w:val="Emphasis"/>
          <w:rFonts w:cstheme="minorHAnsi"/>
          <w:spacing w:val="6"/>
          <w:shd w:val="clear" w:color="auto" w:fill="FFFFFF"/>
        </w:rPr>
        <w:t xml:space="preserve">United States v. </w:t>
      </w:r>
      <w:proofErr w:type="spellStart"/>
      <w:r w:rsidRPr="00C70934">
        <w:rPr>
          <w:rStyle w:val="Emphasis"/>
          <w:rFonts w:cstheme="minorHAnsi"/>
          <w:spacing w:val="6"/>
          <w:shd w:val="clear" w:color="auto" w:fill="FFFFFF"/>
        </w:rPr>
        <w:t>K</w:t>
      </w:r>
      <w:r w:rsidR="007735D2">
        <w:rPr>
          <w:rStyle w:val="Emphasis"/>
          <w:rFonts w:cstheme="minorHAnsi"/>
          <w:spacing w:val="6"/>
          <w:shd w:val="clear" w:color="auto" w:fill="FFFFFF"/>
        </w:rPr>
        <w:t>ag</w:t>
      </w:r>
      <w:r w:rsidRPr="00C70934">
        <w:rPr>
          <w:rStyle w:val="Emphasis"/>
          <w:rFonts w:cstheme="minorHAnsi"/>
          <w:spacing w:val="6"/>
          <w:shd w:val="clear" w:color="auto" w:fill="FFFFFF"/>
        </w:rPr>
        <w:t>ama</w:t>
      </w:r>
      <w:proofErr w:type="spellEnd"/>
      <w:r w:rsidRPr="00C70934">
        <w:rPr>
          <w:rFonts w:cstheme="minorHAnsi"/>
          <w:spacing w:val="6"/>
          <w:shd w:val="clear" w:color="auto" w:fill="FFFFFF"/>
        </w:rPr>
        <w:t>, 118 U.S. 375, 381–82 (1886).</w:t>
      </w:r>
    </w:p>
  </w:footnote>
  <w:footnote w:id="13">
    <w:p w14:paraId="585F1BC4" w14:textId="5AACA6E9" w:rsidR="00B435C9" w:rsidRPr="00B435C9" w:rsidRDefault="00B435C9">
      <w:pPr>
        <w:pStyle w:val="FootnoteText"/>
      </w:pPr>
      <w:r>
        <w:rPr>
          <w:rStyle w:val="FootnoteReference"/>
        </w:rPr>
        <w:footnoteRef/>
      </w:r>
      <w:r>
        <w:t xml:space="preserve"> National Congress of American Indians, </w:t>
      </w:r>
      <w:r>
        <w:rPr>
          <w:i/>
          <w:iCs/>
        </w:rPr>
        <w:t>Policy Issues</w:t>
      </w:r>
      <w:r>
        <w:t xml:space="preserve">, </w:t>
      </w:r>
      <w:hyperlink r:id="rId1" w:history="1">
        <w:r w:rsidRPr="00873928">
          <w:rPr>
            <w:rStyle w:val="Hyperlink"/>
          </w:rPr>
          <w:t>https://www.ncai.org/policy-issues/tribal-governance</w:t>
        </w:r>
      </w:hyperlink>
      <w:r>
        <w:t xml:space="preserve"> (Jan. 20, </w:t>
      </w:r>
      <w:proofErr w:type="gramStart"/>
      <w:r>
        <w:t>2023</w:t>
      </w:r>
      <w:proofErr w:type="gramEnd"/>
      <w:r>
        <w:t xml:space="preserve"> 9:17 A.M.)</w:t>
      </w:r>
    </w:p>
  </w:footnote>
  <w:footnote w:id="14">
    <w:p w14:paraId="0285AD64" w14:textId="384D29C0" w:rsidR="00A527BE" w:rsidRPr="00AC27F9" w:rsidRDefault="00A527BE" w:rsidP="00A527BE">
      <w:pPr>
        <w:pStyle w:val="FootnoteText"/>
      </w:pPr>
      <w:r>
        <w:rPr>
          <w:rStyle w:val="FootnoteReference"/>
        </w:rPr>
        <w:footnoteRef/>
      </w:r>
      <w:r>
        <w:t xml:space="preserve"> </w:t>
      </w:r>
      <w:r>
        <w:rPr>
          <w:i/>
          <w:iCs/>
        </w:rPr>
        <w:t>See Merrion v. Jicarilla Apache Tribe</w:t>
      </w:r>
      <w:r>
        <w:t>, 455 U.S. 130 (1982) (</w:t>
      </w:r>
      <w:r w:rsidR="00CE44EC">
        <w:t xml:space="preserve">holding “The inherent powers of the Jicarilla Apache Tribe, </w:t>
      </w:r>
      <w:proofErr w:type="gramStart"/>
      <w:r w:rsidR="00CE44EC">
        <w:t>[ ]</w:t>
      </w:r>
      <w:proofErr w:type="gramEnd"/>
      <w:r w:rsidR="00CE44EC">
        <w:t xml:space="preserve"> shall vest in the tribal council and shall be exercised thereby subject only to limitations imposed by the Constitution of the United States, applicable Federal </w:t>
      </w:r>
      <w:proofErr w:type="spellStart"/>
      <w:r w:rsidR="00CE44EC">
        <w:t>statues</w:t>
      </w:r>
      <w:proofErr w:type="spellEnd"/>
      <w:r w:rsidR="00CE44EC">
        <w:t xml:space="preserve"> and regulations of the Department of the Interior and the restrictions established by this revised </w:t>
      </w:r>
      <w:r w:rsidR="00A72576">
        <w:t>[Tribal] constitution.”).</w:t>
      </w:r>
    </w:p>
  </w:footnote>
  <w:footnote w:id="15">
    <w:p w14:paraId="3A96BCAD" w14:textId="765A1974" w:rsidR="00135D07" w:rsidRPr="00C275C9" w:rsidRDefault="00135D07">
      <w:pPr>
        <w:pStyle w:val="FootnoteText"/>
        <w:rPr>
          <w:highlight w:val="green"/>
        </w:rPr>
      </w:pPr>
      <w:r w:rsidRPr="007A6FD8">
        <w:rPr>
          <w:rStyle w:val="FootnoteReference"/>
        </w:rPr>
        <w:footnoteRef/>
      </w:r>
      <w:r w:rsidRPr="007A6FD8">
        <w:t xml:space="preserve"> </w:t>
      </w:r>
      <w:r w:rsidRPr="007A6FD8">
        <w:rPr>
          <w:i/>
          <w:iCs/>
        </w:rPr>
        <w:t>See</w:t>
      </w:r>
      <w:r w:rsidR="003229FA" w:rsidRPr="007A6FD8">
        <w:rPr>
          <w:i/>
          <w:iCs/>
        </w:rPr>
        <w:t xml:space="preserve"> </w:t>
      </w:r>
      <w:r w:rsidR="003229FA" w:rsidRPr="007A6FD8">
        <w:t xml:space="preserve">Indian Entities Recognized by and Eligible </w:t>
      </w:r>
      <w:proofErr w:type="gramStart"/>
      <w:r w:rsidR="003229FA" w:rsidRPr="007A6FD8">
        <w:t>To</w:t>
      </w:r>
      <w:proofErr w:type="gramEnd"/>
      <w:r w:rsidR="003229FA" w:rsidRPr="007A6FD8">
        <w:t xml:space="preserve"> Receive Services </w:t>
      </w:r>
      <w:r w:rsidR="00EC30F9" w:rsidRPr="007A6FD8">
        <w:t>From the United States Bureau of Indian Affairs,</w:t>
      </w:r>
      <w:r w:rsidRPr="007A6FD8">
        <w:rPr>
          <w:i/>
          <w:iCs/>
        </w:rPr>
        <w:t xml:space="preserve"> </w:t>
      </w:r>
      <w:r w:rsidR="00C819B1" w:rsidRPr="007A6FD8">
        <w:t>85 Fed. Reg. 5462 (</w:t>
      </w:r>
      <w:r w:rsidR="007A6FD8" w:rsidRPr="007A6FD8">
        <w:t xml:space="preserve">Jan. </w:t>
      </w:r>
      <w:r w:rsidR="00554B8A" w:rsidRPr="007A6FD8">
        <w:t>2020).</w:t>
      </w:r>
    </w:p>
  </w:footnote>
  <w:footnote w:id="16">
    <w:p w14:paraId="6EBDEC2D" w14:textId="74ACF074" w:rsidR="00530440" w:rsidRPr="000F3BA1" w:rsidRDefault="00530440">
      <w:pPr>
        <w:pStyle w:val="FootnoteText"/>
        <w:rPr>
          <w:i/>
          <w:iCs/>
        </w:rPr>
      </w:pPr>
      <w:r w:rsidRPr="000F3BA1">
        <w:rPr>
          <w:rStyle w:val="FootnoteReference"/>
        </w:rPr>
        <w:footnoteRef/>
      </w:r>
      <w:r w:rsidRPr="000F3BA1">
        <w:t xml:space="preserve"> </w:t>
      </w:r>
      <w:r w:rsidR="000F3BA1" w:rsidRPr="000F3BA1">
        <w:rPr>
          <w:smallCaps/>
        </w:rPr>
        <w:t>St. Croix Chippewa Indians of Wisconsin Constitution</w:t>
      </w:r>
      <w:r w:rsidR="000F3BA1" w:rsidRPr="000F3BA1">
        <w:t>, Nov. 12, 1942</w:t>
      </w:r>
      <w:r w:rsidR="000F3BA1" w:rsidRPr="000F3BA1">
        <w:rPr>
          <w:i/>
          <w:iCs/>
        </w:rPr>
        <w:t>, art. IV.</w:t>
      </w:r>
    </w:p>
  </w:footnote>
  <w:footnote w:id="17">
    <w:p w14:paraId="543A624E" w14:textId="33A081C6" w:rsidR="00B435C9" w:rsidRPr="00B435C9" w:rsidRDefault="00B435C9">
      <w:pPr>
        <w:pStyle w:val="FootnoteText"/>
      </w:pPr>
      <w:r>
        <w:rPr>
          <w:rStyle w:val="FootnoteReference"/>
        </w:rPr>
        <w:footnoteRef/>
      </w:r>
      <w:r>
        <w:t xml:space="preserve"> </w:t>
      </w:r>
      <w:r>
        <w:rPr>
          <w:i/>
          <w:iCs/>
        </w:rPr>
        <w:t>See id</w:t>
      </w:r>
      <w:r>
        <w:t>. (</w:t>
      </w:r>
      <w:proofErr w:type="gramStart"/>
      <w:r>
        <w:t>indicating</w:t>
      </w:r>
      <w:proofErr w:type="gramEnd"/>
      <w:r>
        <w:t xml:space="preserve"> the Constitution was approved by the U.S. Dept. of Interior on Nov. 12, 1942).</w:t>
      </w:r>
    </w:p>
  </w:footnote>
  <w:footnote w:id="18">
    <w:p w14:paraId="38155216" w14:textId="45B2D7A6" w:rsidR="002B4C55" w:rsidRPr="000F3BA1" w:rsidRDefault="002B4C55">
      <w:pPr>
        <w:pStyle w:val="FootnoteText"/>
      </w:pPr>
      <w:r w:rsidRPr="000F3BA1">
        <w:rPr>
          <w:rStyle w:val="FootnoteReference"/>
        </w:rPr>
        <w:footnoteRef/>
      </w:r>
      <w:r w:rsidRPr="000F3BA1">
        <w:t xml:space="preserve"> </w:t>
      </w:r>
      <w:r w:rsidR="001348A5" w:rsidRPr="000F3BA1">
        <w:rPr>
          <w:i/>
          <w:iCs/>
        </w:rPr>
        <w:t>See</w:t>
      </w:r>
      <w:r w:rsidR="000F3BA1" w:rsidRPr="000F3BA1">
        <w:rPr>
          <w:i/>
          <w:iCs/>
        </w:rPr>
        <w:t xml:space="preserve"> id</w:t>
      </w:r>
      <w:r w:rsidR="000F3BA1" w:rsidRPr="000F3BA1">
        <w:t xml:space="preserve">. at </w:t>
      </w:r>
      <w:r w:rsidR="00607B4A" w:rsidRPr="000F3BA1">
        <w:t>a</w:t>
      </w:r>
      <w:r w:rsidRPr="000F3BA1">
        <w:t>rt</w:t>
      </w:r>
      <w:r w:rsidR="005C24AE" w:rsidRPr="000F3BA1">
        <w:t>.</w:t>
      </w:r>
      <w:r w:rsidRPr="000F3BA1">
        <w:t xml:space="preserve"> V, </w:t>
      </w:r>
      <w:r w:rsidR="00607B4A" w:rsidRPr="000F3BA1">
        <w:t>s</w:t>
      </w:r>
      <w:r w:rsidRPr="000F3BA1">
        <w:t>ec</w:t>
      </w:r>
      <w:r w:rsidR="00607B4A" w:rsidRPr="000F3BA1">
        <w:t>.</w:t>
      </w:r>
      <w:r w:rsidRPr="000F3BA1">
        <w:t xml:space="preserve"> 1(b). </w:t>
      </w:r>
    </w:p>
  </w:footnote>
  <w:footnote w:id="19">
    <w:p w14:paraId="031AEE94" w14:textId="7CD2E36F" w:rsidR="003213F4" w:rsidRPr="009644B1" w:rsidRDefault="003213F4">
      <w:pPr>
        <w:pStyle w:val="FootnoteText"/>
      </w:pPr>
      <w:r>
        <w:rPr>
          <w:rStyle w:val="FootnoteReference"/>
        </w:rPr>
        <w:footnoteRef/>
      </w:r>
      <w:r>
        <w:t xml:space="preserve"> </w:t>
      </w:r>
      <w:r>
        <w:rPr>
          <w:i/>
          <w:iCs/>
        </w:rPr>
        <w:t xml:space="preserve">See </w:t>
      </w:r>
      <w:r w:rsidR="009644B1">
        <w:rPr>
          <w:i/>
          <w:iCs/>
        </w:rPr>
        <w:t xml:space="preserve">supra </w:t>
      </w:r>
      <w:r w:rsidR="009644B1">
        <w:t xml:space="preserve">note 14 at 134 (explaining that the inherent powers of a tribe vest in the Tribal Council). </w:t>
      </w:r>
    </w:p>
  </w:footnote>
  <w:footnote w:id="20">
    <w:p w14:paraId="212EBFC5" w14:textId="41DA35B9" w:rsidR="002E256B" w:rsidRPr="00866090" w:rsidRDefault="002E256B">
      <w:pPr>
        <w:pStyle w:val="FootnoteText"/>
      </w:pPr>
      <w:r w:rsidRPr="00866090">
        <w:rPr>
          <w:rStyle w:val="FootnoteReference"/>
        </w:rPr>
        <w:footnoteRef/>
      </w:r>
      <w:r w:rsidR="009C120E" w:rsidRPr="00866090">
        <w:t xml:space="preserve"> </w:t>
      </w:r>
      <w:r w:rsidR="009C120E" w:rsidRPr="00866090">
        <w:rPr>
          <w:i/>
          <w:iCs/>
        </w:rPr>
        <w:t xml:space="preserve">See supra </w:t>
      </w:r>
      <w:r w:rsidR="001348A5" w:rsidRPr="00866090">
        <w:t xml:space="preserve">note 2 at </w:t>
      </w:r>
      <w:r w:rsidR="001348A5" w:rsidRPr="00866090">
        <w:rPr>
          <w:rFonts w:cstheme="minorHAnsi"/>
        </w:rPr>
        <w:t>§</w:t>
      </w:r>
      <w:r w:rsidR="001348A5" w:rsidRPr="00866090">
        <w:t xml:space="preserve"> 303(B)(1).</w:t>
      </w:r>
    </w:p>
  </w:footnote>
  <w:footnote w:id="21">
    <w:p w14:paraId="44A730AD" w14:textId="193004A9" w:rsidR="007C3BFB" w:rsidRPr="0043076F" w:rsidRDefault="007C3BFB" w:rsidP="007C3BFB">
      <w:pPr>
        <w:pStyle w:val="FootnoteText"/>
      </w:pPr>
      <w:r w:rsidRPr="00866090">
        <w:rPr>
          <w:rStyle w:val="FootnoteReference"/>
        </w:rPr>
        <w:footnoteRef/>
      </w:r>
      <w:r w:rsidRPr="00866090">
        <w:t xml:space="preserve"> </w:t>
      </w:r>
      <w:r w:rsidR="00B51D5B" w:rsidRPr="00866090">
        <w:rPr>
          <w:i/>
          <w:iCs/>
        </w:rPr>
        <w:t xml:space="preserve">See </w:t>
      </w:r>
      <w:r w:rsidR="00CF1039" w:rsidRPr="00866090">
        <w:t xml:space="preserve">Joe Forward, </w:t>
      </w:r>
      <w:r w:rsidR="00B51D5B" w:rsidRPr="00866090">
        <w:rPr>
          <w:i/>
          <w:iCs/>
        </w:rPr>
        <w:t>Supreme Court Rules: Reciprocity for Tribal Lawyers, Evidence Rules Changes</w:t>
      </w:r>
      <w:r w:rsidR="00B51D5B" w:rsidRPr="00866090">
        <w:t xml:space="preserve">, </w:t>
      </w:r>
      <w:r w:rsidR="00E24013" w:rsidRPr="00866090">
        <w:t>(</w:t>
      </w:r>
      <w:r w:rsidR="00E24013" w:rsidRPr="00866090">
        <w:rPr>
          <w:smallCaps/>
        </w:rPr>
        <w:t>State Bar of Wisconsin</w:t>
      </w:r>
      <w:r w:rsidR="00E24013" w:rsidRPr="00866090">
        <w:t>)</w:t>
      </w:r>
      <w:r w:rsidR="002257EC" w:rsidRPr="00866090">
        <w:t xml:space="preserve"> (Oct. 2017)</w:t>
      </w:r>
      <w:r w:rsidR="00CF1039" w:rsidRPr="00866090">
        <w:t xml:space="preserve">, </w:t>
      </w:r>
      <w:r w:rsidR="00D45841" w:rsidRPr="0043076F">
        <w:t>https://www.wisbar.org/NewsPublications/InsideTrack/Pages/Article.aspx?Volume=9&amp;Issue=19&amp;ArticleID=25884</w:t>
      </w:r>
    </w:p>
  </w:footnote>
  <w:footnote w:id="22">
    <w:p w14:paraId="6781A3C6" w14:textId="76DD420C" w:rsidR="005F1FB5" w:rsidRPr="0043076F" w:rsidRDefault="005F1FB5">
      <w:pPr>
        <w:pStyle w:val="FootnoteText"/>
        <w:rPr>
          <w:highlight w:val="green"/>
        </w:rPr>
      </w:pPr>
      <w:r w:rsidRPr="0043076F">
        <w:rPr>
          <w:rStyle w:val="FootnoteReference"/>
        </w:rPr>
        <w:footnoteRef/>
      </w:r>
      <w:r w:rsidRPr="0043076F">
        <w:t xml:space="preserve"> </w:t>
      </w:r>
      <w:r w:rsidRPr="0043076F">
        <w:rPr>
          <w:i/>
          <w:iCs/>
        </w:rPr>
        <w:t>See</w:t>
      </w:r>
      <w:r w:rsidR="00866090" w:rsidRPr="0043076F">
        <w:rPr>
          <w:i/>
          <w:iCs/>
        </w:rPr>
        <w:t xml:space="preserve"> </w:t>
      </w:r>
      <w:r w:rsidR="00866090" w:rsidRPr="0043076F">
        <w:t xml:space="preserve">Colo. Bar </w:t>
      </w:r>
      <w:proofErr w:type="spellStart"/>
      <w:r w:rsidR="00866090" w:rsidRPr="0043076F">
        <w:t>Ass’n</w:t>
      </w:r>
      <w:proofErr w:type="spellEnd"/>
      <w:r w:rsidR="00866090" w:rsidRPr="0043076F">
        <w:t xml:space="preserve"> R. </w:t>
      </w:r>
      <w:r w:rsidR="0043076F" w:rsidRPr="0043076F">
        <w:t xml:space="preserve">5.5(a) (noting “A lawyer shall not: (1) practice law in this jurisdiction without a license to practice law issued by the Colorado Supreme Court unless specifically authorized by C.R.C.P. 204 or C.R.C.P. 205 or federal or tribal law.”). </w:t>
      </w:r>
    </w:p>
  </w:footnote>
  <w:footnote w:id="23">
    <w:p w14:paraId="2A46EF6F" w14:textId="02F1B525" w:rsidR="00C90688" w:rsidRPr="00C90688" w:rsidRDefault="00C90688">
      <w:pPr>
        <w:pStyle w:val="FootnoteText"/>
        <w:rPr>
          <w:i/>
          <w:iCs/>
        </w:rPr>
      </w:pPr>
      <w:r>
        <w:rPr>
          <w:rStyle w:val="FootnoteReference"/>
        </w:rPr>
        <w:footnoteRef/>
      </w:r>
      <w:r>
        <w:t xml:space="preserve"> </w:t>
      </w:r>
      <w:r>
        <w:rPr>
          <w:i/>
          <w:iCs/>
        </w:rPr>
        <w:t xml:space="preserve">See </w:t>
      </w:r>
      <w:r w:rsidR="00C70934" w:rsidRPr="00B943EA">
        <w:t xml:space="preserve">An act to protect Indian arts and crafts through the improvement of applicable criminal proceedings, and for other </w:t>
      </w:r>
      <w:proofErr w:type="gramStart"/>
      <w:r w:rsidR="00C70934" w:rsidRPr="00B943EA">
        <w:t>purposes</w:t>
      </w:r>
      <w:r w:rsidR="00C70934" w:rsidRPr="00B943EA">
        <w:rPr>
          <w:i/>
          <w:iCs/>
        </w:rPr>
        <w:t xml:space="preserve"> </w:t>
      </w:r>
      <w:r w:rsidR="00C70934" w:rsidRPr="00B943EA">
        <w:t>,</w:t>
      </w:r>
      <w:proofErr w:type="gramEnd"/>
      <w:r w:rsidR="00C70934" w:rsidRPr="00B943EA">
        <w:t xml:space="preserve"> Tribal Law and Order Act of 2010, Pub. L. No. 111-211 (codified as amended 25 U.S.C. </w:t>
      </w:r>
      <w:r w:rsidR="00C70934" w:rsidRPr="00B943EA">
        <w:rPr>
          <w:rFonts w:cstheme="minorHAnsi"/>
        </w:rPr>
        <w:t>§</w:t>
      </w:r>
      <w:r w:rsidR="00C70934" w:rsidRPr="00B943EA">
        <w:t xml:space="preserve"> 1302(c)).</w:t>
      </w:r>
    </w:p>
  </w:footnote>
  <w:footnote w:id="24">
    <w:p w14:paraId="48139CCD" w14:textId="0BA21150" w:rsidR="00E35B57" w:rsidRPr="00541953" w:rsidRDefault="00E35B57">
      <w:pPr>
        <w:pStyle w:val="FootnoteText"/>
      </w:pPr>
      <w:r w:rsidRPr="00541953">
        <w:rPr>
          <w:rStyle w:val="FootnoteReference"/>
        </w:rPr>
        <w:footnoteRef/>
      </w:r>
      <w:r w:rsidRPr="00541953">
        <w:t xml:space="preserve"> </w:t>
      </w:r>
      <w:r w:rsidR="00D05EB7" w:rsidRPr="00541953">
        <w:t xml:space="preserve">Am. B. </w:t>
      </w:r>
      <w:proofErr w:type="spellStart"/>
      <w:r w:rsidR="00D05EB7" w:rsidRPr="00541953">
        <w:t>Ass’n</w:t>
      </w:r>
      <w:proofErr w:type="spellEnd"/>
      <w:r w:rsidR="00D05EB7" w:rsidRPr="00541953">
        <w:t xml:space="preserve"> Const.,</w:t>
      </w:r>
      <w:r w:rsidR="002D5954" w:rsidRPr="00541953">
        <w:t xml:space="preserve"> art. 3, </w:t>
      </w:r>
      <w:r w:rsidR="002D5954" w:rsidRPr="00541953">
        <w:rPr>
          <w:rFonts w:cstheme="minorHAnsi"/>
        </w:rPr>
        <w:t>§</w:t>
      </w:r>
      <w:r w:rsidR="002D5954" w:rsidRPr="00541953">
        <w:t xml:space="preserve"> </w:t>
      </w:r>
      <w:proofErr w:type="gramStart"/>
      <w:r w:rsidR="002D5954" w:rsidRPr="00541953">
        <w:t>3.1</w:t>
      </w:r>
      <w:r w:rsidR="00D05EB7" w:rsidRPr="00541953">
        <w:t xml:space="preserve"> </w:t>
      </w:r>
      <w:r w:rsidR="002D5954" w:rsidRPr="00541953">
        <w:t xml:space="preserve"> (</w:t>
      </w:r>
      <w:proofErr w:type="gramEnd"/>
      <w:r w:rsidR="002D5954" w:rsidRPr="00541953">
        <w:t>2022-2023)</w:t>
      </w:r>
    </w:p>
  </w:footnote>
  <w:footnote w:id="25">
    <w:p w14:paraId="0A15CD84" w14:textId="1A5CE78F" w:rsidR="004012C4" w:rsidRPr="005D500D" w:rsidRDefault="004012C4" w:rsidP="003557B5">
      <w:pPr>
        <w:pStyle w:val="FootnoteText"/>
      </w:pPr>
      <w:r w:rsidRPr="00541953">
        <w:rPr>
          <w:rStyle w:val="FootnoteReference"/>
        </w:rPr>
        <w:footnoteRef/>
      </w:r>
      <w:r w:rsidRPr="00541953">
        <w:t xml:space="preserve"> </w:t>
      </w:r>
      <w:r w:rsidR="002D5954" w:rsidRPr="00541953">
        <w:rPr>
          <w:i/>
          <w:iCs/>
        </w:rPr>
        <w:t>Id</w:t>
      </w:r>
      <w:r w:rsidR="002D5954" w:rsidRPr="00541953">
        <w:t xml:space="preserve">. at </w:t>
      </w:r>
      <w:r w:rsidR="005A487D" w:rsidRPr="00541953">
        <w:rPr>
          <w:rFonts w:cstheme="minorHAnsi"/>
        </w:rPr>
        <w:t>§</w:t>
      </w:r>
      <w:r w:rsidR="005A487D" w:rsidRPr="00541953">
        <w:t xml:space="preserve"> 45.2(e) (stating </w:t>
      </w:r>
      <w:r w:rsidR="00F94B36" w:rsidRPr="00541953">
        <w:t xml:space="preserve">“Where appropriate, all resolutions adopted by the House of Delegates which urge state legislatures, courts or bar </w:t>
      </w:r>
      <w:r w:rsidR="00F94B36" w:rsidRPr="005D500D">
        <w:t>associations to take action shall be understood to include legislatures, courts and bar associations of territories, tribes, local governments, the Commonwealth of Puerto Rico and the District of Columbia.”</w:t>
      </w:r>
      <w:r w:rsidR="00DD093F" w:rsidRPr="005D500D">
        <w:t>).</w:t>
      </w:r>
    </w:p>
  </w:footnote>
  <w:footnote w:id="26">
    <w:p w14:paraId="5DD57390" w14:textId="7384669A" w:rsidR="00BB416C" w:rsidRPr="00C275C9" w:rsidRDefault="00BB416C" w:rsidP="003557B5">
      <w:pPr>
        <w:spacing w:after="0" w:line="240" w:lineRule="auto"/>
        <w:rPr>
          <w:highlight w:val="green"/>
        </w:rPr>
      </w:pPr>
      <w:r w:rsidRPr="00101A27">
        <w:rPr>
          <w:rStyle w:val="FootnoteReference"/>
        </w:rPr>
        <w:footnoteRef/>
      </w:r>
      <w:r w:rsidRPr="00101A27">
        <w:rPr>
          <w:sz w:val="20"/>
          <w:szCs w:val="20"/>
        </w:rPr>
        <w:t xml:space="preserve"> </w:t>
      </w:r>
      <w:r w:rsidRPr="00101A27">
        <w:rPr>
          <w:i/>
          <w:iCs/>
          <w:sz w:val="20"/>
          <w:szCs w:val="20"/>
        </w:rPr>
        <w:t>See</w:t>
      </w:r>
      <w:r w:rsidR="003557B5">
        <w:rPr>
          <w:sz w:val="20"/>
          <w:szCs w:val="20"/>
        </w:rPr>
        <w:t xml:space="preserve"> Fletcher</w:t>
      </w:r>
      <w:r w:rsidRPr="00101A27">
        <w:rPr>
          <w:i/>
          <w:iCs/>
          <w:sz w:val="20"/>
          <w:szCs w:val="20"/>
        </w:rPr>
        <w:t xml:space="preserve"> supra</w:t>
      </w:r>
      <w:r w:rsidRPr="00101A27">
        <w:rPr>
          <w:sz w:val="20"/>
          <w:szCs w:val="20"/>
        </w:rPr>
        <w:t xml:space="preserve"> note </w:t>
      </w:r>
      <w:r w:rsidR="003557B5">
        <w:rPr>
          <w:sz w:val="20"/>
          <w:szCs w:val="20"/>
        </w:rPr>
        <w:t>6</w:t>
      </w:r>
      <w:r w:rsidRPr="00101A27">
        <w:rPr>
          <w:sz w:val="20"/>
          <w:szCs w:val="20"/>
        </w:rPr>
        <w:t xml:space="preserve"> at 16. </w:t>
      </w:r>
    </w:p>
  </w:footnote>
  <w:footnote w:id="27">
    <w:p w14:paraId="561EBD7B" w14:textId="1C211E9B" w:rsidR="00047BEF" w:rsidRPr="00101A27" w:rsidRDefault="00047BEF" w:rsidP="003557B5">
      <w:pPr>
        <w:pStyle w:val="FootnoteText"/>
      </w:pPr>
      <w:r w:rsidRPr="005D500D">
        <w:rPr>
          <w:rStyle w:val="FootnoteReference"/>
        </w:rPr>
        <w:footnoteRef/>
      </w:r>
      <w:r w:rsidRPr="005D500D">
        <w:t xml:space="preserve"> Fletcher, Matthew L.M., "Sovereign Comity: Factors Recognizing Tribal Court Criminal Convictions in State and Federal Courts" (2009), Court Review: The Journal of the American Judges Association at 15</w:t>
      </w:r>
      <w:r w:rsidR="005D500D" w:rsidRPr="005D500D">
        <w:t xml:space="preserve"> (stating “the courts will recognize the judgments of the other courts along the lines of comity given to the courts of foreign nations.”)</w:t>
      </w:r>
      <w:r w:rsidRPr="005D500D">
        <w:t>; a</w:t>
      </w:r>
      <w:r w:rsidRPr="005D500D">
        <w:rPr>
          <w:i/>
          <w:iCs/>
        </w:rPr>
        <w:t xml:space="preserve">nd see </w:t>
      </w:r>
      <w:r w:rsidRPr="005D500D">
        <w:t>MICH. CT. RULE 2.615(A) (noting “The judgments, decrees, orders, warrants, subpoenas, records, and other judicial acts of a tribal court of a federally recognized Indian tribe are recognized, and have the same effect and are subject to the same procedures, defenses, and proceedings as judgments, decrees, orders, warrants,</w:t>
      </w:r>
      <w:r w:rsidRPr="00101A27">
        <w:t xml:space="preserve"> subpoenas, records, and other judicial acts of any court of record in this state, subject to the provisions of this rule.”). </w:t>
      </w:r>
    </w:p>
  </w:footnote>
  <w:footnote w:id="28">
    <w:p w14:paraId="46FABBF3" w14:textId="6C2925C6" w:rsidR="003E505E" w:rsidRPr="00101A27" w:rsidRDefault="003E505E">
      <w:pPr>
        <w:pStyle w:val="FootnoteText"/>
      </w:pPr>
      <w:r w:rsidRPr="00101A27">
        <w:rPr>
          <w:rStyle w:val="FootnoteReference"/>
        </w:rPr>
        <w:footnoteRef/>
      </w:r>
      <w:r w:rsidRPr="00101A27">
        <w:t xml:space="preserve"> </w:t>
      </w:r>
      <w:r w:rsidR="00FF6015" w:rsidRPr="00101A27">
        <w:t xml:space="preserve">S. Ct. Fla, No. SC16-1961, </w:t>
      </w:r>
      <w:r w:rsidR="00FF6015" w:rsidRPr="00101A27">
        <w:rPr>
          <w:i/>
          <w:iCs/>
        </w:rPr>
        <w:t xml:space="preserve">In re: Amendments to the rules regulating the Florida Bar (Biennial Petition) </w:t>
      </w:r>
      <w:r w:rsidR="00FF6015" w:rsidRPr="00101A27">
        <w:t>(Nov. 2017)</w:t>
      </w:r>
      <w:r w:rsidR="000C2857" w:rsidRPr="00101A27">
        <w:t>.</w:t>
      </w:r>
    </w:p>
  </w:footnote>
  <w:footnote w:id="29">
    <w:p w14:paraId="430778CE" w14:textId="55812A9F" w:rsidR="00EE52C0" w:rsidRPr="00C70934" w:rsidRDefault="00EE52C0" w:rsidP="00EE52C0">
      <w:pPr>
        <w:pStyle w:val="FootnoteText"/>
      </w:pPr>
      <w:r w:rsidRPr="00B943EA">
        <w:rPr>
          <w:rStyle w:val="FootnoteReference"/>
        </w:rPr>
        <w:footnoteRef/>
      </w:r>
      <w:r w:rsidRPr="00B943EA">
        <w:t xml:space="preserve"> </w:t>
      </w:r>
      <w:r w:rsidRPr="00B943EA">
        <w:rPr>
          <w:i/>
          <w:iCs/>
        </w:rPr>
        <w:t>S</w:t>
      </w:r>
      <w:r>
        <w:rPr>
          <w:i/>
          <w:iCs/>
        </w:rPr>
        <w:t>upra</w:t>
      </w:r>
      <w:r>
        <w:t xml:space="preserve"> note 2</w:t>
      </w:r>
      <w:r w:rsidR="00CC4E59">
        <w:t>3</w:t>
      </w:r>
      <w:r>
        <w:t>.</w:t>
      </w:r>
    </w:p>
  </w:footnote>
  <w:footnote w:id="30">
    <w:p w14:paraId="71894B05" w14:textId="720C7C79" w:rsidR="003F1CA9" w:rsidRDefault="003F1CA9">
      <w:pPr>
        <w:pStyle w:val="FootnoteText"/>
      </w:pPr>
      <w:r w:rsidRPr="00B943EA">
        <w:rPr>
          <w:rStyle w:val="FootnoteReference"/>
        </w:rPr>
        <w:footnoteRef/>
      </w:r>
      <w:r w:rsidRPr="00B943EA">
        <w:t xml:space="preserve"> </w:t>
      </w:r>
      <w:r w:rsidR="00C275C9" w:rsidRPr="00B943EA">
        <w:rPr>
          <w:i/>
          <w:iCs/>
        </w:rPr>
        <w:t xml:space="preserve">See </w:t>
      </w:r>
      <w:r w:rsidR="00C275C9" w:rsidRPr="00B943EA">
        <w:t>R. Regulating Fla. Bar, Ch. 17</w:t>
      </w:r>
      <w:r w:rsidRPr="00B943EA">
        <w:t>-1.3(a)</w:t>
      </w:r>
      <w:r w:rsidR="00C275C9" w:rsidRPr="00B943EA">
        <w:t>.</w:t>
      </w:r>
    </w:p>
  </w:footnote>
  <w:footnote w:id="31">
    <w:p w14:paraId="0BD4724F" w14:textId="29DF2EA0" w:rsidR="00112AA7" w:rsidRDefault="00112AA7" w:rsidP="00112AA7">
      <w:pPr>
        <w:pStyle w:val="FootnoteText"/>
      </w:pPr>
      <w:r>
        <w:rPr>
          <w:rStyle w:val="FootnoteReference"/>
        </w:rPr>
        <w:footnoteRef/>
      </w:r>
      <w:r>
        <w:t xml:space="preserve"> </w:t>
      </w:r>
      <w:r w:rsidR="00C275C9">
        <w:rPr>
          <w:i/>
          <w:iCs/>
        </w:rPr>
        <w:t>Id</w:t>
      </w:r>
      <w:r w:rsidR="00C275C9">
        <w:t>. At Ch 17</w:t>
      </w:r>
      <w:r>
        <w:t>-1.5(c)</w:t>
      </w:r>
      <w:r w:rsidR="00C275C9">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0D75DC"/>
    <w:multiLevelType w:val="hybridMultilevel"/>
    <w:tmpl w:val="9B56D7CC"/>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6BC10C3"/>
    <w:multiLevelType w:val="multilevel"/>
    <w:tmpl w:val="557CD9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3B7E047E"/>
    <w:multiLevelType w:val="hybridMultilevel"/>
    <w:tmpl w:val="5B3EAF9A"/>
    <w:lvl w:ilvl="0" w:tplc="BF408350">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C1C0D9C"/>
    <w:multiLevelType w:val="hybridMultilevel"/>
    <w:tmpl w:val="A226145C"/>
    <w:lvl w:ilvl="0" w:tplc="8BE677B4">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59120640">
    <w:abstractNumId w:val="2"/>
  </w:num>
  <w:num w:numId="2" w16cid:durableId="1832401597">
    <w:abstractNumId w:val="0"/>
  </w:num>
  <w:num w:numId="3" w16cid:durableId="841973455">
    <w:abstractNumId w:val="1"/>
  </w:num>
  <w:num w:numId="4" w16cid:durableId="12631002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2E7"/>
    <w:rsid w:val="00024854"/>
    <w:rsid w:val="00026AFF"/>
    <w:rsid w:val="000337E4"/>
    <w:rsid w:val="00047BEF"/>
    <w:rsid w:val="000542FF"/>
    <w:rsid w:val="00067B58"/>
    <w:rsid w:val="0007638A"/>
    <w:rsid w:val="00077556"/>
    <w:rsid w:val="000817B6"/>
    <w:rsid w:val="000A208C"/>
    <w:rsid w:val="000B61D1"/>
    <w:rsid w:val="000C2857"/>
    <w:rsid w:val="000C750D"/>
    <w:rsid w:val="000D5B7B"/>
    <w:rsid w:val="000D64D7"/>
    <w:rsid w:val="000F3BA1"/>
    <w:rsid w:val="00101A27"/>
    <w:rsid w:val="00101A3D"/>
    <w:rsid w:val="00103548"/>
    <w:rsid w:val="00105D62"/>
    <w:rsid w:val="00112AA7"/>
    <w:rsid w:val="001224FC"/>
    <w:rsid w:val="001237DA"/>
    <w:rsid w:val="00131351"/>
    <w:rsid w:val="001348A5"/>
    <w:rsid w:val="00135D07"/>
    <w:rsid w:val="0016213D"/>
    <w:rsid w:val="00166DD9"/>
    <w:rsid w:val="00176EFD"/>
    <w:rsid w:val="001C5942"/>
    <w:rsid w:val="001D0A64"/>
    <w:rsid w:val="001D2434"/>
    <w:rsid w:val="001E5C3E"/>
    <w:rsid w:val="0020270A"/>
    <w:rsid w:val="002050D7"/>
    <w:rsid w:val="00216D94"/>
    <w:rsid w:val="002257EC"/>
    <w:rsid w:val="00225B83"/>
    <w:rsid w:val="002323D4"/>
    <w:rsid w:val="0023684C"/>
    <w:rsid w:val="002376A2"/>
    <w:rsid w:val="002442E7"/>
    <w:rsid w:val="0025208B"/>
    <w:rsid w:val="00265DE7"/>
    <w:rsid w:val="00266459"/>
    <w:rsid w:val="00272C1A"/>
    <w:rsid w:val="00274A50"/>
    <w:rsid w:val="002809EE"/>
    <w:rsid w:val="0028115C"/>
    <w:rsid w:val="002952FE"/>
    <w:rsid w:val="002A0AFC"/>
    <w:rsid w:val="002B0695"/>
    <w:rsid w:val="002B14F2"/>
    <w:rsid w:val="002B4BF5"/>
    <w:rsid w:val="002B4C55"/>
    <w:rsid w:val="002B59E9"/>
    <w:rsid w:val="002C786F"/>
    <w:rsid w:val="002D5954"/>
    <w:rsid w:val="002D7437"/>
    <w:rsid w:val="002E256B"/>
    <w:rsid w:val="002F0176"/>
    <w:rsid w:val="002F22ED"/>
    <w:rsid w:val="002F2546"/>
    <w:rsid w:val="003015C5"/>
    <w:rsid w:val="003016FA"/>
    <w:rsid w:val="00307D28"/>
    <w:rsid w:val="003143DF"/>
    <w:rsid w:val="003213F4"/>
    <w:rsid w:val="003229FA"/>
    <w:rsid w:val="0032433C"/>
    <w:rsid w:val="00327BCC"/>
    <w:rsid w:val="00331EB0"/>
    <w:rsid w:val="00343021"/>
    <w:rsid w:val="003557B5"/>
    <w:rsid w:val="00380FA5"/>
    <w:rsid w:val="00390F8B"/>
    <w:rsid w:val="003A3928"/>
    <w:rsid w:val="003A59F4"/>
    <w:rsid w:val="003B5FD8"/>
    <w:rsid w:val="003D45E9"/>
    <w:rsid w:val="003E2286"/>
    <w:rsid w:val="003E3543"/>
    <w:rsid w:val="003E39F6"/>
    <w:rsid w:val="003E505E"/>
    <w:rsid w:val="003F1CA9"/>
    <w:rsid w:val="003F3C30"/>
    <w:rsid w:val="004007FC"/>
    <w:rsid w:val="004012C4"/>
    <w:rsid w:val="00406371"/>
    <w:rsid w:val="0041270A"/>
    <w:rsid w:val="0043076F"/>
    <w:rsid w:val="00431046"/>
    <w:rsid w:val="004355A1"/>
    <w:rsid w:val="00436555"/>
    <w:rsid w:val="004423B3"/>
    <w:rsid w:val="00446D53"/>
    <w:rsid w:val="004657EF"/>
    <w:rsid w:val="00487F5A"/>
    <w:rsid w:val="00494463"/>
    <w:rsid w:val="004B6A2F"/>
    <w:rsid w:val="004C7697"/>
    <w:rsid w:val="004D1E0D"/>
    <w:rsid w:val="004E6686"/>
    <w:rsid w:val="004E66CB"/>
    <w:rsid w:val="00510247"/>
    <w:rsid w:val="005236BE"/>
    <w:rsid w:val="00530440"/>
    <w:rsid w:val="00535C16"/>
    <w:rsid w:val="00541953"/>
    <w:rsid w:val="0055225E"/>
    <w:rsid w:val="00554B8A"/>
    <w:rsid w:val="005615ED"/>
    <w:rsid w:val="005A487D"/>
    <w:rsid w:val="005B74C3"/>
    <w:rsid w:val="005B76C0"/>
    <w:rsid w:val="005B78E0"/>
    <w:rsid w:val="005C24AE"/>
    <w:rsid w:val="005C368B"/>
    <w:rsid w:val="005C4639"/>
    <w:rsid w:val="005C7E1C"/>
    <w:rsid w:val="005D500D"/>
    <w:rsid w:val="005E567A"/>
    <w:rsid w:val="005F1FB5"/>
    <w:rsid w:val="006028BB"/>
    <w:rsid w:val="00607B4A"/>
    <w:rsid w:val="00622192"/>
    <w:rsid w:val="00624B95"/>
    <w:rsid w:val="00624F47"/>
    <w:rsid w:val="00636EC1"/>
    <w:rsid w:val="0064064B"/>
    <w:rsid w:val="006413CC"/>
    <w:rsid w:val="006564ED"/>
    <w:rsid w:val="00670105"/>
    <w:rsid w:val="00674C0B"/>
    <w:rsid w:val="00682EF0"/>
    <w:rsid w:val="00686601"/>
    <w:rsid w:val="00692C08"/>
    <w:rsid w:val="00693323"/>
    <w:rsid w:val="006B639A"/>
    <w:rsid w:val="006C2E97"/>
    <w:rsid w:val="006E4054"/>
    <w:rsid w:val="006E7AF1"/>
    <w:rsid w:val="00701A73"/>
    <w:rsid w:val="007056DD"/>
    <w:rsid w:val="00723461"/>
    <w:rsid w:val="007349C2"/>
    <w:rsid w:val="00734FBF"/>
    <w:rsid w:val="00737D9D"/>
    <w:rsid w:val="00760E00"/>
    <w:rsid w:val="00767E46"/>
    <w:rsid w:val="00770EE0"/>
    <w:rsid w:val="007735D2"/>
    <w:rsid w:val="00775DCE"/>
    <w:rsid w:val="007864B3"/>
    <w:rsid w:val="00792723"/>
    <w:rsid w:val="007A51E1"/>
    <w:rsid w:val="007A6FD8"/>
    <w:rsid w:val="007B4050"/>
    <w:rsid w:val="007B5051"/>
    <w:rsid w:val="007C1962"/>
    <w:rsid w:val="007C3BFB"/>
    <w:rsid w:val="007C4A74"/>
    <w:rsid w:val="007F02FB"/>
    <w:rsid w:val="007F26A1"/>
    <w:rsid w:val="00810259"/>
    <w:rsid w:val="0081255C"/>
    <w:rsid w:val="0082538F"/>
    <w:rsid w:val="0084499C"/>
    <w:rsid w:val="0084640B"/>
    <w:rsid w:val="00855865"/>
    <w:rsid w:val="00855FAA"/>
    <w:rsid w:val="00864D92"/>
    <w:rsid w:val="00866090"/>
    <w:rsid w:val="00890402"/>
    <w:rsid w:val="008A7C86"/>
    <w:rsid w:val="008B31C3"/>
    <w:rsid w:val="008C709C"/>
    <w:rsid w:val="008C7CAE"/>
    <w:rsid w:val="008F3984"/>
    <w:rsid w:val="008F5020"/>
    <w:rsid w:val="00910CA2"/>
    <w:rsid w:val="009644B1"/>
    <w:rsid w:val="00965AA8"/>
    <w:rsid w:val="009726A8"/>
    <w:rsid w:val="009775F2"/>
    <w:rsid w:val="00984A8D"/>
    <w:rsid w:val="009A0B26"/>
    <w:rsid w:val="009B398A"/>
    <w:rsid w:val="009B5864"/>
    <w:rsid w:val="009C120E"/>
    <w:rsid w:val="009C6C64"/>
    <w:rsid w:val="009E0240"/>
    <w:rsid w:val="009E2CBB"/>
    <w:rsid w:val="009E52CF"/>
    <w:rsid w:val="009F04EE"/>
    <w:rsid w:val="009F7D1C"/>
    <w:rsid w:val="00A112D4"/>
    <w:rsid w:val="00A2077E"/>
    <w:rsid w:val="00A20C6C"/>
    <w:rsid w:val="00A25090"/>
    <w:rsid w:val="00A2757C"/>
    <w:rsid w:val="00A30AC5"/>
    <w:rsid w:val="00A30CB1"/>
    <w:rsid w:val="00A361E8"/>
    <w:rsid w:val="00A43CA0"/>
    <w:rsid w:val="00A527BE"/>
    <w:rsid w:val="00A55789"/>
    <w:rsid w:val="00A567BF"/>
    <w:rsid w:val="00A616CC"/>
    <w:rsid w:val="00A650FB"/>
    <w:rsid w:val="00A70265"/>
    <w:rsid w:val="00A72511"/>
    <w:rsid w:val="00A72576"/>
    <w:rsid w:val="00A76190"/>
    <w:rsid w:val="00A76292"/>
    <w:rsid w:val="00A81AC8"/>
    <w:rsid w:val="00A8533C"/>
    <w:rsid w:val="00A86791"/>
    <w:rsid w:val="00A936D0"/>
    <w:rsid w:val="00AC27F9"/>
    <w:rsid w:val="00AC3E36"/>
    <w:rsid w:val="00AD2180"/>
    <w:rsid w:val="00AD7198"/>
    <w:rsid w:val="00AE0261"/>
    <w:rsid w:val="00AF613C"/>
    <w:rsid w:val="00B014DF"/>
    <w:rsid w:val="00B03362"/>
    <w:rsid w:val="00B257CD"/>
    <w:rsid w:val="00B26E9C"/>
    <w:rsid w:val="00B435C9"/>
    <w:rsid w:val="00B453B6"/>
    <w:rsid w:val="00B51D5B"/>
    <w:rsid w:val="00B537F5"/>
    <w:rsid w:val="00B5544E"/>
    <w:rsid w:val="00B649C8"/>
    <w:rsid w:val="00B675F3"/>
    <w:rsid w:val="00B74867"/>
    <w:rsid w:val="00B753F1"/>
    <w:rsid w:val="00B80A96"/>
    <w:rsid w:val="00B83005"/>
    <w:rsid w:val="00B943EA"/>
    <w:rsid w:val="00BB416C"/>
    <w:rsid w:val="00BB4BAF"/>
    <w:rsid w:val="00BD36E7"/>
    <w:rsid w:val="00BD43EE"/>
    <w:rsid w:val="00BD7DD3"/>
    <w:rsid w:val="00BE0710"/>
    <w:rsid w:val="00BE5749"/>
    <w:rsid w:val="00C00438"/>
    <w:rsid w:val="00C11F33"/>
    <w:rsid w:val="00C15461"/>
    <w:rsid w:val="00C275C9"/>
    <w:rsid w:val="00C31F3E"/>
    <w:rsid w:val="00C40C92"/>
    <w:rsid w:val="00C50B23"/>
    <w:rsid w:val="00C63485"/>
    <w:rsid w:val="00C664F5"/>
    <w:rsid w:val="00C70934"/>
    <w:rsid w:val="00C73B96"/>
    <w:rsid w:val="00C819B1"/>
    <w:rsid w:val="00C836F9"/>
    <w:rsid w:val="00C90688"/>
    <w:rsid w:val="00C935BA"/>
    <w:rsid w:val="00CA45BD"/>
    <w:rsid w:val="00CA4B88"/>
    <w:rsid w:val="00CB4E61"/>
    <w:rsid w:val="00CC328A"/>
    <w:rsid w:val="00CC4E59"/>
    <w:rsid w:val="00CD3662"/>
    <w:rsid w:val="00CD6431"/>
    <w:rsid w:val="00CE0676"/>
    <w:rsid w:val="00CE0EBC"/>
    <w:rsid w:val="00CE33BB"/>
    <w:rsid w:val="00CE44EC"/>
    <w:rsid w:val="00CE679E"/>
    <w:rsid w:val="00CE6B54"/>
    <w:rsid w:val="00CF1039"/>
    <w:rsid w:val="00D05EB7"/>
    <w:rsid w:val="00D0710B"/>
    <w:rsid w:val="00D10E5C"/>
    <w:rsid w:val="00D168B6"/>
    <w:rsid w:val="00D35F66"/>
    <w:rsid w:val="00D45841"/>
    <w:rsid w:val="00D52CF6"/>
    <w:rsid w:val="00D56F34"/>
    <w:rsid w:val="00D61019"/>
    <w:rsid w:val="00D63082"/>
    <w:rsid w:val="00D641F6"/>
    <w:rsid w:val="00D72EDC"/>
    <w:rsid w:val="00D80160"/>
    <w:rsid w:val="00D83BFF"/>
    <w:rsid w:val="00D8728A"/>
    <w:rsid w:val="00D91032"/>
    <w:rsid w:val="00DA4D14"/>
    <w:rsid w:val="00DB0312"/>
    <w:rsid w:val="00DC1E92"/>
    <w:rsid w:val="00DC497F"/>
    <w:rsid w:val="00DD093F"/>
    <w:rsid w:val="00DD1301"/>
    <w:rsid w:val="00DE7956"/>
    <w:rsid w:val="00E17F93"/>
    <w:rsid w:val="00E21433"/>
    <w:rsid w:val="00E21B88"/>
    <w:rsid w:val="00E2390B"/>
    <w:rsid w:val="00E24013"/>
    <w:rsid w:val="00E35B57"/>
    <w:rsid w:val="00E40018"/>
    <w:rsid w:val="00E44586"/>
    <w:rsid w:val="00E65C11"/>
    <w:rsid w:val="00EC059E"/>
    <w:rsid w:val="00EC30F9"/>
    <w:rsid w:val="00EE52C0"/>
    <w:rsid w:val="00F15E2F"/>
    <w:rsid w:val="00F24174"/>
    <w:rsid w:val="00F257AC"/>
    <w:rsid w:val="00F2658F"/>
    <w:rsid w:val="00F3011D"/>
    <w:rsid w:val="00F45613"/>
    <w:rsid w:val="00F557EA"/>
    <w:rsid w:val="00F65C86"/>
    <w:rsid w:val="00F83856"/>
    <w:rsid w:val="00F94520"/>
    <w:rsid w:val="00F94B36"/>
    <w:rsid w:val="00FA0070"/>
    <w:rsid w:val="00FA4F8A"/>
    <w:rsid w:val="00FD00AD"/>
    <w:rsid w:val="00FE507E"/>
    <w:rsid w:val="00FF6015"/>
    <w:rsid w:val="00FF65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A006C9"/>
  <w15:chartTrackingRefBased/>
  <w15:docId w15:val="{D8DB856F-CB7D-43AC-809B-1D73AE72E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1255C"/>
    <w:rPr>
      <w:sz w:val="16"/>
      <w:szCs w:val="16"/>
    </w:rPr>
  </w:style>
  <w:style w:type="paragraph" w:styleId="CommentText">
    <w:name w:val="annotation text"/>
    <w:basedOn w:val="Normal"/>
    <w:link w:val="CommentTextChar"/>
    <w:uiPriority w:val="99"/>
    <w:unhideWhenUsed/>
    <w:rsid w:val="0081255C"/>
    <w:pPr>
      <w:spacing w:line="240" w:lineRule="auto"/>
    </w:pPr>
    <w:rPr>
      <w:sz w:val="20"/>
      <w:szCs w:val="20"/>
    </w:rPr>
  </w:style>
  <w:style w:type="character" w:customStyle="1" w:styleId="CommentTextChar">
    <w:name w:val="Comment Text Char"/>
    <w:basedOn w:val="DefaultParagraphFont"/>
    <w:link w:val="CommentText"/>
    <w:uiPriority w:val="99"/>
    <w:rsid w:val="0081255C"/>
    <w:rPr>
      <w:sz w:val="20"/>
      <w:szCs w:val="20"/>
    </w:rPr>
  </w:style>
  <w:style w:type="paragraph" w:styleId="CommentSubject">
    <w:name w:val="annotation subject"/>
    <w:basedOn w:val="CommentText"/>
    <w:next w:val="CommentText"/>
    <w:link w:val="CommentSubjectChar"/>
    <w:uiPriority w:val="99"/>
    <w:semiHidden/>
    <w:unhideWhenUsed/>
    <w:rsid w:val="0081255C"/>
    <w:rPr>
      <w:b/>
      <w:bCs/>
    </w:rPr>
  </w:style>
  <w:style w:type="character" w:customStyle="1" w:styleId="CommentSubjectChar">
    <w:name w:val="Comment Subject Char"/>
    <w:basedOn w:val="CommentTextChar"/>
    <w:link w:val="CommentSubject"/>
    <w:uiPriority w:val="99"/>
    <w:semiHidden/>
    <w:rsid w:val="0081255C"/>
    <w:rPr>
      <w:b/>
      <w:bCs/>
      <w:sz w:val="20"/>
      <w:szCs w:val="20"/>
    </w:rPr>
  </w:style>
  <w:style w:type="paragraph" w:styleId="ListParagraph">
    <w:name w:val="List Paragraph"/>
    <w:basedOn w:val="Normal"/>
    <w:uiPriority w:val="34"/>
    <w:qFormat/>
    <w:rsid w:val="007B5051"/>
    <w:pPr>
      <w:ind w:left="720"/>
      <w:contextualSpacing/>
    </w:pPr>
  </w:style>
  <w:style w:type="paragraph" w:styleId="FootnoteText">
    <w:name w:val="footnote text"/>
    <w:basedOn w:val="Normal"/>
    <w:link w:val="FootnoteTextChar"/>
    <w:uiPriority w:val="99"/>
    <w:semiHidden/>
    <w:unhideWhenUsed/>
    <w:rsid w:val="00CD366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D3662"/>
    <w:rPr>
      <w:sz w:val="20"/>
      <w:szCs w:val="20"/>
    </w:rPr>
  </w:style>
  <w:style w:type="character" w:styleId="FootnoteReference">
    <w:name w:val="footnote reference"/>
    <w:basedOn w:val="DefaultParagraphFont"/>
    <w:uiPriority w:val="99"/>
    <w:semiHidden/>
    <w:unhideWhenUsed/>
    <w:rsid w:val="00CD3662"/>
    <w:rPr>
      <w:vertAlign w:val="superscript"/>
    </w:rPr>
  </w:style>
  <w:style w:type="character" w:styleId="Hyperlink">
    <w:name w:val="Hyperlink"/>
    <w:basedOn w:val="DefaultParagraphFont"/>
    <w:uiPriority w:val="99"/>
    <w:unhideWhenUsed/>
    <w:rsid w:val="002323D4"/>
    <w:rPr>
      <w:color w:val="0000FF"/>
      <w:u w:val="single"/>
    </w:rPr>
  </w:style>
  <w:style w:type="character" w:styleId="Emphasis">
    <w:name w:val="Emphasis"/>
    <w:basedOn w:val="DefaultParagraphFont"/>
    <w:uiPriority w:val="20"/>
    <w:qFormat/>
    <w:rsid w:val="00DC1E92"/>
    <w:rPr>
      <w:i/>
      <w:iCs/>
    </w:rPr>
  </w:style>
  <w:style w:type="character" w:styleId="UnresolvedMention">
    <w:name w:val="Unresolved Mention"/>
    <w:basedOn w:val="DefaultParagraphFont"/>
    <w:uiPriority w:val="99"/>
    <w:semiHidden/>
    <w:unhideWhenUsed/>
    <w:rsid w:val="00AC3E36"/>
    <w:rPr>
      <w:color w:val="605E5C"/>
      <w:shd w:val="clear" w:color="auto" w:fill="E1DFDD"/>
    </w:rPr>
  </w:style>
  <w:style w:type="paragraph" w:styleId="NormalWeb">
    <w:name w:val="Normal (Web)"/>
    <w:basedOn w:val="Normal"/>
    <w:uiPriority w:val="99"/>
    <w:semiHidden/>
    <w:unhideWhenUsed/>
    <w:rsid w:val="00103548"/>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B39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B398A"/>
  </w:style>
  <w:style w:type="paragraph" w:styleId="Footer">
    <w:name w:val="footer"/>
    <w:basedOn w:val="Normal"/>
    <w:link w:val="FooterChar"/>
    <w:uiPriority w:val="99"/>
    <w:unhideWhenUsed/>
    <w:rsid w:val="009B39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398A"/>
  </w:style>
  <w:style w:type="character" w:styleId="FollowedHyperlink">
    <w:name w:val="FollowedHyperlink"/>
    <w:basedOn w:val="DefaultParagraphFont"/>
    <w:uiPriority w:val="99"/>
    <w:semiHidden/>
    <w:unhideWhenUsed/>
    <w:rsid w:val="004D1E0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034841">
      <w:bodyDiv w:val="1"/>
      <w:marLeft w:val="0"/>
      <w:marRight w:val="0"/>
      <w:marTop w:val="0"/>
      <w:marBottom w:val="0"/>
      <w:divBdr>
        <w:top w:val="none" w:sz="0" w:space="0" w:color="auto"/>
        <w:left w:val="none" w:sz="0" w:space="0" w:color="auto"/>
        <w:bottom w:val="none" w:sz="0" w:space="0" w:color="auto"/>
        <w:right w:val="none" w:sz="0" w:space="0" w:color="auto"/>
      </w:divBdr>
    </w:div>
    <w:div w:id="1416197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ncai.org/policy-issues/tribal-governa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DA46BA-B966-47AC-A8EC-D2D8FBE421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1793</Words>
  <Characters>10224</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Ferrell</dc:creator>
  <cp:keywords/>
  <dc:description/>
  <cp:lastModifiedBy>Stamates, Nicholas</cp:lastModifiedBy>
  <cp:revision>2</cp:revision>
  <dcterms:created xsi:type="dcterms:W3CDTF">2023-01-20T18:33:00Z</dcterms:created>
  <dcterms:modified xsi:type="dcterms:W3CDTF">2023-01-20T18:33:00Z</dcterms:modified>
</cp:coreProperties>
</file>