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AB443" w14:textId="4BB44972" w:rsidR="00DC4C40" w:rsidRPr="00DC4C40" w:rsidRDefault="004E51C4" w:rsidP="00043E04">
      <w:pPr>
        <w:pStyle w:val="Heading1"/>
      </w:pPr>
      <w:r>
        <w:t xml:space="preserve">Providing Technical Assistance Related </w:t>
      </w:r>
      <w:r>
        <w:br/>
        <w:t xml:space="preserve">to the Indian Child Welfare Act, </w:t>
      </w:r>
      <w:r w:rsidRPr="005B5803">
        <w:t>ACF-2025-0038-0001</w:t>
      </w:r>
      <w:r>
        <w:br/>
      </w:r>
      <w:r>
        <w:br/>
        <w:t xml:space="preserve">Public Comment </w:t>
      </w:r>
      <w:r w:rsidR="000211F0">
        <w:t xml:space="preserve">from Justice </w:t>
      </w:r>
      <w:r w:rsidR="00DC4C40">
        <w:t xml:space="preserve">Anne </w:t>
      </w:r>
      <w:r w:rsidR="000211F0">
        <w:t>McKeig</w:t>
      </w:r>
      <w:r w:rsidR="00DC4C40">
        <w:t xml:space="preserve">, </w:t>
      </w:r>
      <w:r>
        <w:br/>
      </w:r>
      <w:r w:rsidR="00DC4C40">
        <w:t>Minnesota Supreme Court</w:t>
      </w:r>
    </w:p>
    <w:p w14:paraId="1414B483" w14:textId="357E35B9" w:rsidR="00DC4C40" w:rsidRDefault="00DC4C40" w:rsidP="00DC4C40">
      <w:pPr>
        <w:pStyle w:val="Heading2"/>
      </w:pPr>
      <w:r>
        <w:t>Introduction</w:t>
      </w:r>
    </w:p>
    <w:p w14:paraId="636BE183" w14:textId="69EA6D1D" w:rsidR="004E51C4" w:rsidRDefault="004E51C4" w:rsidP="004E51C4">
      <w:pPr>
        <w:ind w:firstLine="720"/>
      </w:pPr>
      <w:r>
        <w:t>These comments</w:t>
      </w:r>
      <w:r w:rsidR="00DC4C40">
        <w:t xml:space="preserve"> </w:t>
      </w:r>
      <w:r>
        <w:t>are</w:t>
      </w:r>
      <w:r w:rsidR="00DC4C40">
        <w:t xml:space="preserve"> submitted by Anne McKeig, Associate Justice of the Minnesota Supreme Court and </w:t>
      </w:r>
      <w:r>
        <w:t>descendant</w:t>
      </w:r>
      <w:r w:rsidR="00DC4C40">
        <w:t xml:space="preserve"> of White Earth Nation.  Justice McKeig is co-chair of the Children’s Justice Initiative Advisory Committee, which steers the work of </w:t>
      </w:r>
      <w:r>
        <w:t>Minnesota’s</w:t>
      </w:r>
      <w:r w:rsidR="00DC4C40">
        <w:t xml:space="preserve"> Court Improvement Program grant, and the Supreme Court Council for Child Protection and Maltreatment Prevention, which is providing comprehensive </w:t>
      </w:r>
      <w:r>
        <w:t xml:space="preserve">analysis and </w:t>
      </w:r>
      <w:r w:rsidR="00DC4C40">
        <w:t xml:space="preserve">recommendations for improvements to the child welfare system in Minnesota. Additionally, she represents the Minnesota Supreme Court on the </w:t>
      </w:r>
      <w:r w:rsidR="00043E04">
        <w:t>leadership team that directs work under</w:t>
      </w:r>
      <w:r w:rsidR="00DC4C40">
        <w:t xml:space="preserve"> the HHS State-Tribal Partnership grant for ICWA Best Practices. </w:t>
      </w:r>
    </w:p>
    <w:p w14:paraId="1D345C31" w14:textId="11EF12C2" w:rsidR="004E51C4" w:rsidRDefault="004E51C4" w:rsidP="004E51C4">
      <w:pPr>
        <w:ind w:firstLine="720"/>
      </w:pPr>
      <w:r>
        <w:t>Throughout her career as a</w:t>
      </w:r>
      <w:r w:rsidR="009913B0">
        <w:t xml:space="preserve"> county</w:t>
      </w:r>
      <w:r>
        <w:t xml:space="preserve"> attorney, state court judge, and supreme court justice, Justice McKeig</w:t>
      </w:r>
      <w:r w:rsidRPr="004E51C4">
        <w:t xml:space="preserve"> has been a national leader in developing protocols and programs for child protection and Indian Child Welfare.  She has also collaborated on practices to address child custody, domestic violence, sexual abuse, and equal access to justice.  She has been an adjunct professor at Mitchell Hamline Law School, where she helped develop a curriculum for Child Abuse and the Law.</w:t>
      </w:r>
      <w:r w:rsidR="001E5475">
        <w:t xml:space="preserve"> Justice McKeig is also a board member with the National Council of Family and Juvenile Court Judges.</w:t>
      </w:r>
    </w:p>
    <w:p w14:paraId="34587EBE" w14:textId="3CB74CBC" w:rsidR="00DC4C40" w:rsidRDefault="00DC4C40" w:rsidP="004E51C4">
      <w:pPr>
        <w:ind w:firstLine="720"/>
      </w:pPr>
      <w:r>
        <w:t xml:space="preserve">Justice McKeig provides comments on the specific questions enumerated below.  </w:t>
      </w:r>
    </w:p>
    <w:p w14:paraId="62D2CAA0" w14:textId="77777777" w:rsidR="00043E04" w:rsidRDefault="00043E04" w:rsidP="0053085B">
      <w:pPr>
        <w:pStyle w:val="Heading2"/>
      </w:pPr>
    </w:p>
    <w:p w14:paraId="3F4F3314" w14:textId="0C6A3DD5" w:rsidR="0053085B" w:rsidRDefault="00FB7247" w:rsidP="0053085B">
      <w:pPr>
        <w:pStyle w:val="Heading2"/>
      </w:pPr>
      <w:r>
        <w:t xml:space="preserve">Question </w:t>
      </w:r>
      <w:proofErr w:type="spellStart"/>
      <w:r>
        <w:t>I.a.</w:t>
      </w:r>
      <w:proofErr w:type="spellEnd"/>
      <w:r>
        <w:t xml:space="preserve"> What barriers has your State/Tribe experienced in effectively implementing ICWA? </w:t>
      </w:r>
    </w:p>
    <w:p w14:paraId="2D12DA8E" w14:textId="5E5F36C7" w:rsidR="0053085B" w:rsidRDefault="0053085B" w:rsidP="00FB7247">
      <w:pPr>
        <w:ind w:firstLine="720"/>
      </w:pPr>
      <w:r>
        <w:t xml:space="preserve">The primary barrier to implementing ICWA effectively in Minnesota is the inadequacy of funding for and availability of family-support services.  Services are especially lacking in rural areas, and those resources that are available may not be culturally informed.  A shortfall of high quality, culturally informed services hampers counties’ ability to </w:t>
      </w:r>
      <w:r w:rsidR="00EE64B5">
        <w:t xml:space="preserve">effectively </w:t>
      </w:r>
      <w:r>
        <w:t xml:space="preserve">provide active efforts to avoid family separation or to reunite a family following separation. </w:t>
      </w:r>
    </w:p>
    <w:p w14:paraId="4D543F50" w14:textId="03F187C0" w:rsidR="0053085B" w:rsidRDefault="0053085B" w:rsidP="00FB7247">
      <w:pPr>
        <w:ind w:firstLine="720"/>
      </w:pPr>
      <w:r>
        <w:t xml:space="preserve">Implementation of active efforts is also impeded by a related funding matter: Minnesota statute enables the state to penalize counties for ICWA implementation by reducing federal funding to counties that the state determines have not complied 100% with ICWA the preceding year. This creates an unintended dynamic where counties </w:t>
      </w:r>
      <w:r w:rsidR="00EE64B5">
        <w:t xml:space="preserve">that the state identifies as struggling with ICWA implementation </w:t>
      </w:r>
      <w:r>
        <w:t xml:space="preserve">receive fewer of the funds that </w:t>
      </w:r>
      <w:r w:rsidR="00EE64B5">
        <w:t>they need</w:t>
      </w:r>
      <w:r>
        <w:t xml:space="preserve"> to meaningfully implement active efforts under ICWA.  Sometimes, the compliance rate is based on a technicality </w:t>
      </w:r>
      <w:r w:rsidR="009913B0">
        <w:t xml:space="preserve">that is completely outside of the petitioner’s control, </w:t>
      </w:r>
      <w:r>
        <w:t xml:space="preserve">rather than substantial, meaningful compliance with ICWA; thus, a county otherwise complying entirely with ICWA may lose the very funding that enables it to do so.  </w:t>
      </w:r>
    </w:p>
    <w:p w14:paraId="344E7501" w14:textId="7AB9B398" w:rsidR="0053085B" w:rsidRDefault="0053085B" w:rsidP="00FB7247">
      <w:pPr>
        <w:ind w:firstLine="720"/>
      </w:pPr>
      <w:r>
        <w:lastRenderedPageBreak/>
        <w:t xml:space="preserve">Another barrier for both Tribes and the States is the challenge of timely responses to ICWA notices.  Frequently, </w:t>
      </w:r>
      <w:r w:rsidR="00EE64B5">
        <w:t xml:space="preserve">the number of notices received by Tribal staff may simply overwhelm the limited </w:t>
      </w:r>
      <w:r>
        <w:t xml:space="preserve">Tribal staff </w:t>
      </w:r>
      <w:r w:rsidR="00EE64B5">
        <w:t>available to respond to notices</w:t>
      </w:r>
      <w:r>
        <w:t xml:space="preserve">.  Notably, 1 or 2 staff members at each Tribe must respond to ICWA notices from all 87 counties in Minnesota, not to mention nationwide.  </w:t>
      </w:r>
      <w:r w:rsidR="00EE64B5">
        <w:t>Delays in filing responses to</w:t>
      </w:r>
      <w:r>
        <w:t xml:space="preserve"> ICWA notices </w:t>
      </w:r>
      <w:r w:rsidR="00EE64B5">
        <w:t>impact</w:t>
      </w:r>
      <w:r>
        <w:t xml:space="preserve"> case processing and </w:t>
      </w:r>
      <w:r w:rsidR="00EE64B5">
        <w:t xml:space="preserve">cause </w:t>
      </w:r>
      <w:r>
        <w:t>frustration for all parties involved. There is a major need for either innovative technical assistance to Tribes in streamlin</w:t>
      </w:r>
      <w:r w:rsidR="00EE64B5">
        <w:t>in</w:t>
      </w:r>
      <w:r>
        <w:t xml:space="preserve">g the process to </w:t>
      </w:r>
      <w:r w:rsidR="00EE64B5">
        <w:t>receive</w:t>
      </w:r>
      <w:r>
        <w:t xml:space="preserve"> and respond to notices, or funding to hire additional Tribal personnel to manage and respond to ICWA notices.  </w:t>
      </w:r>
    </w:p>
    <w:p w14:paraId="231954AC" w14:textId="343615F2" w:rsidR="0053085B" w:rsidRDefault="0053085B" w:rsidP="00FB7247">
      <w:pPr>
        <w:ind w:firstLine="720"/>
      </w:pPr>
      <w:r>
        <w:t>Finally, multigenerational trauma creates significant barriers to effectively applying ICWA to protect American Indian children.  Community-wide trauma has cascading effects into efforts to protect future generations</w:t>
      </w:r>
      <w:r w:rsidR="00EE64B5">
        <w:t>, including</w:t>
      </w:r>
      <w:r>
        <w:t xml:space="preserve"> that trauma throughout a family tree may severely limit the safe placement options available with relatives or kin within the </w:t>
      </w:r>
      <w:r w:rsidR="00EE64B5">
        <w:t xml:space="preserve">child’s </w:t>
      </w:r>
      <w:r>
        <w:t xml:space="preserve">community.  To successfully implement ICWA, </w:t>
      </w:r>
      <w:r w:rsidR="009913B0">
        <w:t xml:space="preserve">we need better data regarding multigenerational families that have gone through child protection, to enable Tribal communities, agencies, and state courts to interrupt the trauma cycle so that future generations are not repeating this </w:t>
      </w:r>
      <w:proofErr w:type="gramStart"/>
      <w:r w:rsidR="009913B0">
        <w:t>cycle.</w:t>
      </w:r>
      <w:r>
        <w:t>.</w:t>
      </w:r>
      <w:proofErr w:type="gramEnd"/>
      <w:r>
        <w:t xml:space="preserve">  </w:t>
      </w:r>
    </w:p>
    <w:p w14:paraId="441F3592" w14:textId="77777777" w:rsidR="0053085B" w:rsidRDefault="0053085B"/>
    <w:p w14:paraId="023E1BBF" w14:textId="41C189A7" w:rsidR="0053085B" w:rsidRDefault="00FB7247" w:rsidP="00FB7247">
      <w:pPr>
        <w:pStyle w:val="Heading2"/>
      </w:pPr>
      <w:r>
        <w:t xml:space="preserve">Question </w:t>
      </w:r>
      <w:proofErr w:type="spellStart"/>
      <w:r>
        <w:t>I.b</w:t>
      </w:r>
      <w:proofErr w:type="spellEnd"/>
      <w:r>
        <w:t xml:space="preserve">. Has your State/Tribe identified a method of receiving TA that worked well in the past? </w:t>
      </w:r>
    </w:p>
    <w:p w14:paraId="35C85E94" w14:textId="2122C871" w:rsidR="0053085B" w:rsidRDefault="00962909" w:rsidP="00962909">
      <w:pPr>
        <w:ind w:firstLine="720"/>
      </w:pPr>
      <w:r>
        <w:t xml:space="preserve">In Minnesota, the most successful training and technical assistance is delivered by local personnel who </w:t>
      </w:r>
      <w:r w:rsidR="008E0EFB">
        <w:t>are</w:t>
      </w:r>
      <w:r>
        <w:t xml:space="preserve"> trusted by the communities they are supporting. </w:t>
      </w:r>
      <w:r w:rsidR="00EE64B5">
        <w:t xml:space="preserve">To </w:t>
      </w:r>
      <w:r w:rsidR="008E0EFB">
        <w:t>ensure that</w:t>
      </w:r>
      <w:r>
        <w:t xml:space="preserve"> technical assistance under this statute</w:t>
      </w:r>
      <w:r w:rsidR="008E0EFB">
        <w:t xml:space="preserve"> is </w:t>
      </w:r>
      <w:r w:rsidR="002D4525">
        <w:t xml:space="preserve">successfully </w:t>
      </w:r>
      <w:r w:rsidR="008E0EFB">
        <w:t xml:space="preserve">delivered by </w:t>
      </w:r>
      <w:r w:rsidR="002D4525">
        <w:t>trusted</w:t>
      </w:r>
      <w:r w:rsidR="008E0EFB">
        <w:t xml:space="preserve"> personnel</w:t>
      </w:r>
      <w:r w:rsidR="00EE64B5">
        <w:t xml:space="preserve">, federal agencies should adopt a “train the trainers” approach and contract with local trusted entities or </w:t>
      </w:r>
      <w:r w:rsidR="006C0A99">
        <w:t>individuals</w:t>
      </w:r>
      <w:r w:rsidR="00EE64B5">
        <w:t xml:space="preserve"> to deliver technical assistance</w:t>
      </w:r>
      <w:r w:rsidR="006C0A99">
        <w:t xml:space="preserve"> on behalf of HHS/ACF</w:t>
      </w:r>
      <w:r>
        <w:t xml:space="preserve">.  </w:t>
      </w:r>
      <w:r w:rsidR="006C0A99">
        <w:t>And, i</w:t>
      </w:r>
      <w:r>
        <w:t>mportantly,</w:t>
      </w:r>
      <w:r w:rsidR="00EE64B5">
        <w:t xml:space="preserve"> federal agencies should ensure local entities are robustly </w:t>
      </w:r>
      <w:r>
        <w:t>fund</w:t>
      </w:r>
      <w:r w:rsidR="00EE64B5">
        <w:t>ed to support their</w:t>
      </w:r>
      <w:r>
        <w:t xml:space="preserve"> deliver</w:t>
      </w:r>
      <w:r w:rsidR="00EE64B5">
        <w:t>y of</w:t>
      </w:r>
      <w:r>
        <w:t xml:space="preserve"> such training and technical assistance here in Minnesota. </w:t>
      </w:r>
    </w:p>
    <w:p w14:paraId="192136D8" w14:textId="0F789B7C" w:rsidR="00962909" w:rsidRDefault="00962909" w:rsidP="00962909">
      <w:pPr>
        <w:ind w:firstLine="720"/>
      </w:pPr>
      <w:r>
        <w:t xml:space="preserve">Another effective route to improve </w:t>
      </w:r>
      <w:r w:rsidR="008E0EFB">
        <w:t xml:space="preserve">ICWA </w:t>
      </w:r>
      <w:r>
        <w:t xml:space="preserve">implementation is to </w:t>
      </w:r>
      <w:r w:rsidR="008E0EFB">
        <w:t xml:space="preserve">directly </w:t>
      </w:r>
      <w:r>
        <w:t>support Tribal Courts in expanding</w:t>
      </w:r>
      <w:r w:rsidR="008E0EFB">
        <w:t xml:space="preserve"> their</w:t>
      </w:r>
      <w:r>
        <w:t xml:space="preserve"> capacity to hear child welfare cases. </w:t>
      </w:r>
      <w:r w:rsidR="00F258A5">
        <w:t xml:space="preserve">In Minnesota, Tribal Courts’ limited capacity to hear child welfare cases means that most ICWA cases proceed in state courts. But </w:t>
      </w:r>
      <w:r>
        <w:t>Tribal Courts are in the best position to ensure children remain connected with their families and culture</w:t>
      </w:r>
      <w:r w:rsidR="008E0EFB">
        <w:t xml:space="preserve"> and to connect families with culturally</w:t>
      </w:r>
      <w:r w:rsidR="002304BF">
        <w:t xml:space="preserve"> based</w:t>
      </w:r>
      <w:r w:rsidR="008E0EFB">
        <w:t xml:space="preserve"> and trauma-informed support services</w:t>
      </w:r>
      <w:r>
        <w:t xml:space="preserve">. </w:t>
      </w:r>
      <w:r w:rsidR="00F258A5">
        <w:t xml:space="preserve">Notably, Tribal Courts can deploy cultural and spiritual resources to support families in a way that state courts simply cannot duplicate.  </w:t>
      </w:r>
      <w:r w:rsidR="008E0EFB">
        <w:t xml:space="preserve">If technical assistance enabled Tribal Courts to </w:t>
      </w:r>
      <w:r w:rsidR="00F258A5">
        <w:t>exercise</w:t>
      </w:r>
      <w:r w:rsidR="008E0EFB">
        <w:t xml:space="preserve"> jurisdiction over more cases involving that Tribe’s families,</w:t>
      </w:r>
      <w:r w:rsidR="006C0A99">
        <w:t xml:space="preserve"> that alone would be an improvement to ICWA implementation. </w:t>
      </w:r>
    </w:p>
    <w:p w14:paraId="7D56BF93" w14:textId="77777777" w:rsidR="002304BF" w:rsidRDefault="002304BF" w:rsidP="002304BF"/>
    <w:p w14:paraId="1C8B4AB7" w14:textId="083CB83B" w:rsidR="002304BF" w:rsidRDefault="00DC4C40" w:rsidP="00DC4C40">
      <w:pPr>
        <w:pStyle w:val="Heading2"/>
      </w:pPr>
      <w:r>
        <w:t xml:space="preserve">Question </w:t>
      </w:r>
      <w:proofErr w:type="spellStart"/>
      <w:r>
        <w:t>I.c.</w:t>
      </w:r>
      <w:proofErr w:type="spellEnd"/>
      <w:r>
        <w:t xml:space="preserve"> What existing State-Tribe partnerships or processes are helpful in effectively implementing ICWA? </w:t>
      </w:r>
    </w:p>
    <w:p w14:paraId="02E11387" w14:textId="55E00381" w:rsidR="002304BF" w:rsidRDefault="002304BF" w:rsidP="00DC4C40">
      <w:pPr>
        <w:ind w:firstLine="720"/>
      </w:pPr>
      <w:r>
        <w:t>Partnerships between the state court and Tribal representatives on ICWA cases are effective when the state court team meets with Tribal representatives on a regular, frequent basis. For instance, one county with</w:t>
      </w:r>
      <w:r w:rsidR="006C0A99">
        <w:t xml:space="preserve"> numerous </w:t>
      </w:r>
      <w:r>
        <w:t xml:space="preserve">ICWA cases holds a monthly staffing meeting with Tribal representatives to discuss </w:t>
      </w:r>
      <w:r w:rsidR="006C0A99">
        <w:t>priorities and address concerns regarding</w:t>
      </w:r>
      <w:r>
        <w:t xml:space="preserve"> ICWA cases.</w:t>
      </w:r>
      <w:r w:rsidR="006C0A99">
        <w:t xml:space="preserve"> </w:t>
      </w:r>
    </w:p>
    <w:p w14:paraId="52DF67BC" w14:textId="65CF3DEA" w:rsidR="002304BF" w:rsidRDefault="002304BF" w:rsidP="00DC4C40">
      <w:pPr>
        <w:ind w:firstLine="720"/>
      </w:pPr>
      <w:r>
        <w:t xml:space="preserve">In Minnesota, the Tribal State Agreement represents an effective partnership between the </w:t>
      </w:r>
      <w:r>
        <w:lastRenderedPageBreak/>
        <w:t>state child welfare agency and the Tribes</w:t>
      </w:r>
      <w:r w:rsidR="006C0A99">
        <w:t xml:space="preserve">.  The Tribal State Agreement </w:t>
      </w:r>
      <w:r>
        <w:t xml:space="preserve">defines expectations as between Tribes and state entities regarding coordination and management of child welfare cases.  </w:t>
      </w:r>
      <w:r w:rsidR="006C0A99">
        <w:t xml:space="preserve">It also requires the state and Tribes to hold </w:t>
      </w:r>
      <w:r>
        <w:t>an annual meeting to consult on present needs regarding child welfare case</w:t>
      </w:r>
      <w:r w:rsidR="006C0A99">
        <w:t xml:space="preserve"> management and procedures</w:t>
      </w:r>
      <w:r>
        <w:t xml:space="preserve">.  This regular consultation process ensures the provisions of the Tribal State Agreement </w:t>
      </w:r>
      <w:r w:rsidR="006C0A99">
        <w:t>are regularly reviewed</w:t>
      </w:r>
      <w:r>
        <w:t xml:space="preserve"> by both Tribal and state </w:t>
      </w:r>
      <w:proofErr w:type="gramStart"/>
      <w:r>
        <w:t>entities, and</w:t>
      </w:r>
      <w:proofErr w:type="gramEnd"/>
      <w:r>
        <w:t xml:space="preserve"> provides a forum to timely address any concerns</w:t>
      </w:r>
      <w:r w:rsidR="006C0A99">
        <w:t xml:space="preserve"> in the context of child welfare</w:t>
      </w:r>
      <w:r>
        <w:t xml:space="preserve">.  </w:t>
      </w:r>
    </w:p>
    <w:p w14:paraId="3D7EBD26" w14:textId="7E5F980D" w:rsidR="00B41ED3" w:rsidRDefault="00B41ED3" w:rsidP="00DC4C40">
      <w:pPr>
        <w:ind w:firstLine="720"/>
      </w:pPr>
      <w:r>
        <w:t xml:space="preserve">Similarly, the expansion of the Minnesota Indian Family Preservation Act </w:t>
      </w:r>
      <w:r w:rsidR="006C0A99">
        <w:t xml:space="preserve">(MIFPA) </w:t>
      </w:r>
      <w:r>
        <w:t>in recent years has provided a</w:t>
      </w:r>
      <w:r w:rsidR="00DC4C40">
        <w:t>n</w:t>
      </w:r>
      <w:r>
        <w:t xml:space="preserve"> effective </w:t>
      </w:r>
      <w:r w:rsidR="00DC4C40">
        <w:t>platform for partnership between the state legislature and Tribal Nations</w:t>
      </w:r>
      <w:r w:rsidR="006C0A99">
        <w:t xml:space="preserve">.  MIFPA reflects </w:t>
      </w:r>
      <w:r>
        <w:t>the specific needs of Trib</w:t>
      </w:r>
      <w:r w:rsidR="006C0A99">
        <w:t>al Nations</w:t>
      </w:r>
      <w:r>
        <w:t xml:space="preserve"> in Minnesota in </w:t>
      </w:r>
      <w:r w:rsidR="006C0A99">
        <w:t xml:space="preserve">its </w:t>
      </w:r>
      <w:r>
        <w:t xml:space="preserve">requirements for child welfare cases involving American Indian children.  </w:t>
      </w:r>
    </w:p>
    <w:p w14:paraId="675278B3" w14:textId="0A6ED501" w:rsidR="002304BF" w:rsidRDefault="00B41ED3" w:rsidP="00DC4C40">
      <w:pPr>
        <w:ind w:firstLine="720"/>
      </w:pPr>
      <w:r>
        <w:t>Finally, the Court Improvement Program and the State-Tribal Partnership grant have funded effective technical assistance</w:t>
      </w:r>
      <w:r w:rsidR="006C0A99">
        <w:t xml:space="preserve"> programs for</w:t>
      </w:r>
      <w:r>
        <w:t xml:space="preserve"> state courts and Tribal Nations regarding American Indian Child Welfare</w:t>
      </w:r>
      <w:r w:rsidR="00B61EFA">
        <w:t xml:space="preserve"> in Minnesota</w:t>
      </w:r>
      <w:r>
        <w:t>.  Continuation and expansion of these funds would en</w:t>
      </w:r>
      <w:r w:rsidR="00B61EFA">
        <w:t xml:space="preserve">able increased partnership and effective relationship building between state agencies, state courts, and Tribal Nations in Minnesota. </w:t>
      </w:r>
    </w:p>
    <w:p w14:paraId="50F424AE" w14:textId="77777777" w:rsidR="00B61EFA" w:rsidRDefault="00B61EFA" w:rsidP="002304BF"/>
    <w:p w14:paraId="68A82CC6" w14:textId="57518262" w:rsidR="00B61EFA" w:rsidRPr="00DC4C40" w:rsidRDefault="00DC4C40" w:rsidP="002304BF">
      <w:pPr>
        <w:rPr>
          <w:rStyle w:val="Heading2Char"/>
        </w:rPr>
      </w:pPr>
      <w:r w:rsidRPr="00DC4C40">
        <w:rPr>
          <w:rStyle w:val="Heading2Char"/>
        </w:rPr>
        <w:t xml:space="preserve">Question I.e. </w:t>
      </w:r>
      <w:r w:rsidR="00B61EFA" w:rsidRPr="00DC4C40">
        <w:rPr>
          <w:rStyle w:val="Heading2Char"/>
        </w:rPr>
        <w:t xml:space="preserve">What </w:t>
      </w:r>
      <w:r>
        <w:rPr>
          <w:rStyle w:val="Heading2Char"/>
        </w:rPr>
        <w:t xml:space="preserve">data is needed to know whether Technical Assistance is effective? </w:t>
      </w:r>
    </w:p>
    <w:p w14:paraId="481FF931" w14:textId="7C04B953" w:rsidR="00B61EFA" w:rsidRDefault="00B61EFA" w:rsidP="00DC4C40">
      <w:pPr>
        <w:ind w:firstLine="720"/>
      </w:pPr>
      <w:r>
        <w:t xml:space="preserve">Data reported nationwide on American Indian Child Welfare must be standardized such that all states report data consistently.  Currently, </w:t>
      </w:r>
      <w:r w:rsidR="004470CA">
        <w:t xml:space="preserve">states may define and report certain measures, such as out-of-home placement, differently. This makes state-to-state comparisons difficult. </w:t>
      </w:r>
      <w:r>
        <w:t>Consistent nationwide parameters for data would improve the reliability</w:t>
      </w:r>
      <w:r w:rsidR="004470CA">
        <w:t xml:space="preserve"> and relevance</w:t>
      </w:r>
      <w:r>
        <w:t xml:space="preserve"> of nationwide data sets. </w:t>
      </w:r>
    </w:p>
    <w:p w14:paraId="69A97E80" w14:textId="77777777" w:rsidR="00043E04" w:rsidRDefault="004E3C99" w:rsidP="00DC4C40">
      <w:pPr>
        <w:ind w:firstLine="720"/>
      </w:pPr>
      <w:r>
        <w:t xml:space="preserve">Additionally, there is currently only very limited capacity to share </w:t>
      </w:r>
      <w:r w:rsidR="006C0A99">
        <w:t xml:space="preserve">child welfare </w:t>
      </w:r>
      <w:r>
        <w:t>data between Tribal Nations, state courts, and state agencies</w:t>
      </w:r>
      <w:r w:rsidR="006C0A99">
        <w:t>. S</w:t>
      </w:r>
      <w:r>
        <w:t>ome of the most meaningful information about ICWA implementation – such as</w:t>
      </w:r>
      <w:r w:rsidR="006C0A99">
        <w:t xml:space="preserve"> </w:t>
      </w:r>
      <w:r>
        <w:t xml:space="preserve">Tribal participation in state court hearings </w:t>
      </w:r>
      <w:r w:rsidR="00043E04">
        <w:t xml:space="preserve">or testimony by QEWs </w:t>
      </w:r>
      <w:r>
        <w:t>– is not captured in reportable data. To evaluate the impact of technical assistance for ICWA implementation, we need a broader data set regarding ICWA implementation that reflects impact on meaningful outcomes and is shared between all partners in American Indian child welfare.</w:t>
      </w:r>
    </w:p>
    <w:p w14:paraId="7BFC9E8B" w14:textId="35E33D0A" w:rsidR="004E3C99" w:rsidRDefault="004E3C99" w:rsidP="00DC4C40">
      <w:pPr>
        <w:ind w:firstLine="720"/>
      </w:pPr>
      <w:r>
        <w:t xml:space="preserve"> </w:t>
      </w:r>
    </w:p>
    <w:p w14:paraId="49DE3208" w14:textId="7C391DEA" w:rsidR="004E3C99" w:rsidRDefault="00DC4C40" w:rsidP="00EE64B5">
      <w:pPr>
        <w:pStyle w:val="Heading2"/>
      </w:pPr>
      <w:r>
        <w:t xml:space="preserve">Question </w:t>
      </w:r>
      <w:proofErr w:type="spellStart"/>
      <w:r>
        <w:t>I.g.</w:t>
      </w:r>
      <w:proofErr w:type="spellEnd"/>
      <w:r>
        <w:t xml:space="preserve"> What additional supports would Tribes find helpful to build their capacity to respond to ICWA notices, attend court hearings, and certify foster families under ICWA? </w:t>
      </w:r>
    </w:p>
    <w:p w14:paraId="6910CF1A" w14:textId="19F4A667" w:rsidR="000D14DD" w:rsidRDefault="00043E04" w:rsidP="00043E04">
      <w:pPr>
        <w:ind w:firstLine="720"/>
      </w:pPr>
      <w:r>
        <w:t>As described above, a p</w:t>
      </w:r>
      <w:r w:rsidR="004E3C99">
        <w:t xml:space="preserve">ressing complaint raised by state courts, state agencies, and Tribal staff is the challenge of </w:t>
      </w:r>
      <w:r w:rsidR="0057113D">
        <w:t xml:space="preserve">timely </w:t>
      </w:r>
      <w:r w:rsidR="004E3C99">
        <w:t xml:space="preserve">obtaining green card responses to ICWA notifications. </w:t>
      </w:r>
      <w:r w:rsidR="00FB7247">
        <w:t>County child welfare staff</w:t>
      </w:r>
      <w:r w:rsidR="004E3C99">
        <w:t xml:space="preserve"> struggle to ensure that notifications are directed to the appropriate place at each Tribe</w:t>
      </w:r>
      <w:r w:rsidR="00DC4C40">
        <w:t xml:space="preserve"> to provide meaningful notice,</w:t>
      </w:r>
      <w:r w:rsidR="00FB7247">
        <w:t xml:space="preserve"> and </w:t>
      </w:r>
      <w:r w:rsidR="00DC4C40">
        <w:t>may not know who to contact</w:t>
      </w:r>
      <w:r w:rsidR="00FB7247">
        <w:t xml:space="preserve"> when green cards </w:t>
      </w:r>
      <w:r w:rsidR="009913B0">
        <w:t>go unreturned</w:t>
      </w:r>
      <w:r w:rsidR="004E3C99">
        <w:t xml:space="preserve">; </w:t>
      </w:r>
      <w:r w:rsidR="00FB7247">
        <w:t xml:space="preserve">limited Tribal staff struggle to keep up with the sheer quantity of notifications received; and </w:t>
      </w:r>
      <w:r w:rsidR="004E3C99">
        <w:t>court</w:t>
      </w:r>
      <w:r w:rsidR="00FB7247">
        <w:t xml:space="preserve"> personnel</w:t>
      </w:r>
      <w:r w:rsidR="004E3C99">
        <w:t xml:space="preserve"> struggle with scheduling hearings for cases that are waiting for green cards to be filed before additional hearings can proceed.  Technical assistance should be </w:t>
      </w:r>
      <w:r w:rsidR="004E3C99">
        <w:lastRenderedPageBreak/>
        <w:t xml:space="preserve">directed toward standardizing practices for county agencies and Tribes to improve </w:t>
      </w:r>
      <w:r w:rsidR="00FB7247">
        <w:t>their ability to appropriately carry out and respond to ICWA notice requirements</w:t>
      </w:r>
      <w:r w:rsidR="009913B0">
        <w:t>, or to update this aspect of practice by removing an antiquated method of service from ICWA requirements</w:t>
      </w:r>
      <w:r w:rsidR="00FB7247">
        <w:t xml:space="preserve">.  </w:t>
      </w:r>
    </w:p>
    <w:sectPr w:rsidR="000D14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87E05"/>
    <w:multiLevelType w:val="hybridMultilevel"/>
    <w:tmpl w:val="2B4EB9C0"/>
    <w:lvl w:ilvl="0" w:tplc="39EC854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555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1F0"/>
    <w:rsid w:val="0001200D"/>
    <w:rsid w:val="000211F0"/>
    <w:rsid w:val="00043E04"/>
    <w:rsid w:val="0004727B"/>
    <w:rsid w:val="000D14DD"/>
    <w:rsid w:val="001759E4"/>
    <w:rsid w:val="001E5475"/>
    <w:rsid w:val="002304BF"/>
    <w:rsid w:val="002A3E2D"/>
    <w:rsid w:val="002B0AAF"/>
    <w:rsid w:val="002D4525"/>
    <w:rsid w:val="004470CA"/>
    <w:rsid w:val="004E3C99"/>
    <w:rsid w:val="004E51C4"/>
    <w:rsid w:val="00515F63"/>
    <w:rsid w:val="0053085B"/>
    <w:rsid w:val="005353B2"/>
    <w:rsid w:val="0057113D"/>
    <w:rsid w:val="005B5803"/>
    <w:rsid w:val="005E688D"/>
    <w:rsid w:val="0069435A"/>
    <w:rsid w:val="006C0A99"/>
    <w:rsid w:val="007641BA"/>
    <w:rsid w:val="00894C76"/>
    <w:rsid w:val="008D3EF1"/>
    <w:rsid w:val="008E066B"/>
    <w:rsid w:val="008E0EFB"/>
    <w:rsid w:val="00944CE3"/>
    <w:rsid w:val="00953E65"/>
    <w:rsid w:val="00955A5F"/>
    <w:rsid w:val="00962909"/>
    <w:rsid w:val="009913B0"/>
    <w:rsid w:val="009A4C6E"/>
    <w:rsid w:val="00B40A4B"/>
    <w:rsid w:val="00B41ED3"/>
    <w:rsid w:val="00B61EFA"/>
    <w:rsid w:val="00C11DBE"/>
    <w:rsid w:val="00D61C3B"/>
    <w:rsid w:val="00D872EB"/>
    <w:rsid w:val="00DC4C40"/>
    <w:rsid w:val="00E1337F"/>
    <w:rsid w:val="00E236C9"/>
    <w:rsid w:val="00E96198"/>
    <w:rsid w:val="00EE64B5"/>
    <w:rsid w:val="00EF7266"/>
    <w:rsid w:val="00F006E7"/>
    <w:rsid w:val="00F258A5"/>
    <w:rsid w:val="00F6248C"/>
    <w:rsid w:val="00FB6344"/>
    <w:rsid w:val="00FB7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0C89F"/>
  <w15:chartTrackingRefBased/>
  <w15:docId w15:val="{2C159C5B-55DF-43CA-9F39-0CA159D80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61C3B"/>
    <w:pPr>
      <w:widowControl w:val="0"/>
      <w:spacing w:after="120" w:line="240" w:lineRule="auto"/>
    </w:pPr>
    <w:rPr>
      <w:rFonts w:ascii="Times New Roman" w:hAnsi="Times New Roman"/>
      <w:kern w:val="0"/>
      <w:sz w:val="24"/>
      <w14:ligatures w14:val="none"/>
    </w:rPr>
  </w:style>
  <w:style w:type="paragraph" w:styleId="Heading1">
    <w:name w:val="heading 1"/>
    <w:basedOn w:val="Normal"/>
    <w:next w:val="Normal"/>
    <w:link w:val="Heading1Char"/>
    <w:uiPriority w:val="9"/>
    <w:qFormat/>
    <w:rsid w:val="00D61C3B"/>
    <w:pPr>
      <w:keepNext/>
      <w:keepLines/>
      <w:spacing w:before="240" w:after="360"/>
      <w:jc w:val="center"/>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D61C3B"/>
    <w:pPr>
      <w:keepNext/>
      <w:keepLines/>
      <w:spacing w:before="4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D61C3B"/>
    <w:pPr>
      <w:keepNext/>
      <w:keepLines/>
      <w:spacing w:before="40"/>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0211F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211F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211F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211F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211F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211F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1C3B"/>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rsid w:val="00D61C3B"/>
    <w:rPr>
      <w:rFonts w:ascii="Times New Roman" w:eastAsiaTheme="majorEastAsia" w:hAnsi="Times New Roman" w:cstheme="majorBidi"/>
      <w:b/>
      <w:sz w:val="28"/>
      <w:szCs w:val="26"/>
    </w:rPr>
  </w:style>
  <w:style w:type="character" w:customStyle="1" w:styleId="Heading3Char">
    <w:name w:val="Heading 3 Char"/>
    <w:basedOn w:val="DefaultParagraphFont"/>
    <w:link w:val="Heading3"/>
    <w:uiPriority w:val="9"/>
    <w:rsid w:val="00D61C3B"/>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semiHidden/>
    <w:rsid w:val="000211F0"/>
    <w:rPr>
      <w:rFonts w:eastAsiaTheme="majorEastAsia" w:cstheme="majorBidi"/>
      <w:i/>
      <w:iCs/>
      <w:color w:val="0F4761" w:themeColor="accent1" w:themeShade="BF"/>
      <w:kern w:val="0"/>
      <w:sz w:val="24"/>
      <w14:ligatures w14:val="none"/>
    </w:rPr>
  </w:style>
  <w:style w:type="character" w:customStyle="1" w:styleId="Heading5Char">
    <w:name w:val="Heading 5 Char"/>
    <w:basedOn w:val="DefaultParagraphFont"/>
    <w:link w:val="Heading5"/>
    <w:uiPriority w:val="9"/>
    <w:semiHidden/>
    <w:rsid w:val="000211F0"/>
    <w:rPr>
      <w:rFonts w:eastAsiaTheme="majorEastAsia" w:cstheme="majorBidi"/>
      <w:color w:val="0F4761" w:themeColor="accent1" w:themeShade="BF"/>
      <w:kern w:val="0"/>
      <w:sz w:val="24"/>
      <w14:ligatures w14:val="none"/>
    </w:rPr>
  </w:style>
  <w:style w:type="character" w:customStyle="1" w:styleId="Heading6Char">
    <w:name w:val="Heading 6 Char"/>
    <w:basedOn w:val="DefaultParagraphFont"/>
    <w:link w:val="Heading6"/>
    <w:uiPriority w:val="9"/>
    <w:semiHidden/>
    <w:rsid w:val="000211F0"/>
    <w:rPr>
      <w:rFonts w:eastAsiaTheme="majorEastAsia" w:cstheme="majorBidi"/>
      <w:i/>
      <w:iCs/>
      <w:color w:val="595959" w:themeColor="text1" w:themeTint="A6"/>
      <w:kern w:val="0"/>
      <w:sz w:val="24"/>
      <w14:ligatures w14:val="none"/>
    </w:rPr>
  </w:style>
  <w:style w:type="character" w:customStyle="1" w:styleId="Heading7Char">
    <w:name w:val="Heading 7 Char"/>
    <w:basedOn w:val="DefaultParagraphFont"/>
    <w:link w:val="Heading7"/>
    <w:uiPriority w:val="9"/>
    <w:semiHidden/>
    <w:rsid w:val="000211F0"/>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0211F0"/>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0211F0"/>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000211F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11F0"/>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0211F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11F0"/>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0211F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211F0"/>
    <w:rPr>
      <w:rFonts w:ascii="Times New Roman" w:hAnsi="Times New Roman"/>
      <w:i/>
      <w:iCs/>
      <w:color w:val="404040" w:themeColor="text1" w:themeTint="BF"/>
      <w:kern w:val="0"/>
      <w:sz w:val="24"/>
      <w14:ligatures w14:val="none"/>
    </w:rPr>
  </w:style>
  <w:style w:type="paragraph" w:styleId="ListParagraph">
    <w:name w:val="List Paragraph"/>
    <w:basedOn w:val="Normal"/>
    <w:uiPriority w:val="34"/>
    <w:qFormat/>
    <w:rsid w:val="000211F0"/>
    <w:pPr>
      <w:ind w:left="720"/>
      <w:contextualSpacing/>
    </w:pPr>
  </w:style>
  <w:style w:type="character" w:styleId="IntenseEmphasis">
    <w:name w:val="Intense Emphasis"/>
    <w:basedOn w:val="DefaultParagraphFont"/>
    <w:uiPriority w:val="21"/>
    <w:qFormat/>
    <w:rsid w:val="000211F0"/>
    <w:rPr>
      <w:i/>
      <w:iCs/>
      <w:color w:val="0F4761" w:themeColor="accent1" w:themeShade="BF"/>
    </w:rPr>
  </w:style>
  <w:style w:type="paragraph" w:styleId="IntenseQuote">
    <w:name w:val="Intense Quote"/>
    <w:basedOn w:val="Normal"/>
    <w:next w:val="Normal"/>
    <w:link w:val="IntenseQuoteChar"/>
    <w:uiPriority w:val="30"/>
    <w:qFormat/>
    <w:rsid w:val="000211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11F0"/>
    <w:rPr>
      <w:rFonts w:ascii="Times New Roman" w:hAnsi="Times New Roman"/>
      <w:i/>
      <w:iCs/>
      <w:color w:val="0F4761" w:themeColor="accent1" w:themeShade="BF"/>
      <w:kern w:val="0"/>
      <w:sz w:val="24"/>
      <w14:ligatures w14:val="none"/>
    </w:rPr>
  </w:style>
  <w:style w:type="character" w:styleId="IntenseReference">
    <w:name w:val="Intense Reference"/>
    <w:basedOn w:val="DefaultParagraphFont"/>
    <w:uiPriority w:val="32"/>
    <w:qFormat/>
    <w:rsid w:val="000211F0"/>
    <w:rPr>
      <w:b/>
      <w:bCs/>
      <w:smallCaps/>
      <w:color w:val="0F4761" w:themeColor="accent1" w:themeShade="BF"/>
      <w:spacing w:val="5"/>
    </w:rPr>
  </w:style>
  <w:style w:type="character" w:styleId="CommentReference">
    <w:name w:val="annotation reference"/>
    <w:basedOn w:val="DefaultParagraphFont"/>
    <w:uiPriority w:val="99"/>
    <w:semiHidden/>
    <w:unhideWhenUsed/>
    <w:rsid w:val="00EF7266"/>
    <w:rPr>
      <w:sz w:val="16"/>
      <w:szCs w:val="16"/>
    </w:rPr>
  </w:style>
  <w:style w:type="paragraph" w:styleId="CommentText">
    <w:name w:val="annotation text"/>
    <w:basedOn w:val="Normal"/>
    <w:link w:val="CommentTextChar"/>
    <w:uiPriority w:val="99"/>
    <w:unhideWhenUsed/>
    <w:rsid w:val="00EF7266"/>
    <w:rPr>
      <w:sz w:val="20"/>
      <w:szCs w:val="20"/>
    </w:rPr>
  </w:style>
  <w:style w:type="character" w:customStyle="1" w:styleId="CommentTextChar">
    <w:name w:val="Comment Text Char"/>
    <w:basedOn w:val="DefaultParagraphFont"/>
    <w:link w:val="CommentText"/>
    <w:uiPriority w:val="99"/>
    <w:rsid w:val="00EF7266"/>
    <w:rPr>
      <w:rFonts w:ascii="Times New Roman" w:hAnsi="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F7266"/>
    <w:rPr>
      <w:b/>
      <w:bCs/>
    </w:rPr>
  </w:style>
  <w:style w:type="character" w:customStyle="1" w:styleId="CommentSubjectChar">
    <w:name w:val="Comment Subject Char"/>
    <w:basedOn w:val="CommentTextChar"/>
    <w:link w:val="CommentSubject"/>
    <w:uiPriority w:val="99"/>
    <w:semiHidden/>
    <w:rsid w:val="00EF7266"/>
    <w:rPr>
      <w:rFonts w:ascii="Times New Roman" w:hAnsi="Times New Roman"/>
      <w:b/>
      <w:bCs/>
      <w:kern w:val="0"/>
      <w:sz w:val="20"/>
      <w:szCs w:val="20"/>
      <w14:ligatures w14:val="none"/>
    </w:rPr>
  </w:style>
  <w:style w:type="paragraph" w:styleId="Revision">
    <w:name w:val="Revision"/>
    <w:hidden/>
    <w:uiPriority w:val="99"/>
    <w:semiHidden/>
    <w:rsid w:val="009913B0"/>
    <w:pPr>
      <w:spacing w:after="0" w:line="240" w:lineRule="auto"/>
    </w:pPr>
    <w:rPr>
      <w:rFonts w:ascii="Times New Roman" w:hAnsi="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1451</Words>
  <Characters>8276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Friesen, Miriam</dc:creator>
  <cp:keywords/>
  <dc:description/>
  <cp:lastModifiedBy>Singel, Wenona</cp:lastModifiedBy>
  <cp:revision>2</cp:revision>
  <dcterms:created xsi:type="dcterms:W3CDTF">2026-09-23T15:35:00Z</dcterms:created>
  <dcterms:modified xsi:type="dcterms:W3CDTF">2026-09-23T15:35:00Z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79656f-57b9-4d90-9939-25c1fcaa4399_Enabled">
    <vt:lpwstr>true</vt:lpwstr>
  </property>
  <property fmtid="{D5CDD505-2E9C-101B-9397-08002B2CF9AE}" pid="3" name="MSIP_Label_be79656f-57b9-4d90-9939-25c1fcaa4399_SetDate">
    <vt:lpwstr>2025-09-02T16:31:02Z</vt:lpwstr>
  </property>
  <property fmtid="{D5CDD505-2E9C-101B-9397-08002B2CF9AE}" pid="4" name="MSIP_Label_be79656f-57b9-4d90-9939-25c1fcaa4399_Method">
    <vt:lpwstr>Standard</vt:lpwstr>
  </property>
  <property fmtid="{D5CDD505-2E9C-101B-9397-08002B2CF9AE}" pid="5" name="MSIP_Label_be79656f-57b9-4d90-9939-25c1fcaa4399_Name">
    <vt:lpwstr>Moderate</vt:lpwstr>
  </property>
  <property fmtid="{D5CDD505-2E9C-101B-9397-08002B2CF9AE}" pid="6" name="MSIP_Label_be79656f-57b9-4d90-9939-25c1fcaa4399_SiteId">
    <vt:lpwstr>8cf8312b-4c34-4b6f-9dee-c56512a7510f</vt:lpwstr>
  </property>
  <property fmtid="{D5CDD505-2E9C-101B-9397-08002B2CF9AE}" pid="7" name="MSIP_Label_be79656f-57b9-4d90-9939-25c1fcaa4399_ActionId">
    <vt:lpwstr>24189f8a-1c7b-48fe-8064-451e4ad3a42f</vt:lpwstr>
  </property>
  <property fmtid="{D5CDD505-2E9C-101B-9397-08002B2CF9AE}" pid="8" name="MSIP_Label_be79656f-57b9-4d90-9939-25c1fcaa4399_ContentBits">
    <vt:lpwstr>0</vt:lpwstr>
  </property>
  <property fmtid="{D5CDD505-2E9C-101B-9397-08002B2CF9AE}" pid="9" name="MSIP_Label_be79656f-57b9-4d90-9939-25c1fcaa4399_Tag">
    <vt:lpwstr>10, 3, 0, 1</vt:lpwstr>
  </property>
</Properties>
</file>